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אלה פטל</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54361" w:rsidRDefault="00E81737" w:rsidP="00D37A49">
                <w:pPr>
                  <w:rPr>
                    <w:rFonts w:ascii="Arial (W1)" w:hAnsi="Arial (W1)"/>
                    <w:b/>
                    <w:bCs/>
                    <w:noProof w:val="0"/>
                    <w:sz w:val="28"/>
                    <w:szCs w:val="28"/>
                  </w:rPr>
                </w:pPr>
                <w:r>
                  <w:rPr>
                    <w:rFonts w:hint="cs"/>
                    <w:b/>
                    <w:bCs/>
                    <w:noProof w:val="0"/>
                    <w:sz w:val="28"/>
                    <w:rtl/>
                  </w:rPr>
                  <w:t>מערער</w:t>
                </w:r>
              </w:p>
            </w:sdtContent>
          </w:sdt>
        </w:tc>
        <w:tc>
          <w:tcPr>
            <w:tcW w:w="5571" w:type="dxa"/>
          </w:tcPr>
          <w:p w:rsidR="006816EC" w:rsidRDefault="006816EC">
            <w:pPr>
              <w:rPr>
                <w:rFonts w:ascii="Arial (W1)" w:hAnsi="Arial (W1)"/>
                <w:b/>
                <w:bCs/>
                <w:noProof w:val="0"/>
                <w:sz w:val="28"/>
                <w:szCs w:val="28"/>
                <w:rtl/>
              </w:rPr>
            </w:pPr>
          </w:p>
          <w:p w:rsidR="00180256" w:rsidRDefault="005347D0" w:rsidP="00561AC0">
            <w:pPr>
              <w:rPr>
                <w:b/>
                <w:bCs/>
                <w:noProof w:val="0"/>
                <w:sz w:val="28"/>
                <w:rtl/>
              </w:rPr>
            </w:pPr>
            <w:sdt>
              <w:sdtPr>
                <w:rPr>
                  <w:rFonts w:hint="cs"/>
                  <w:b/>
                  <w:bCs/>
                  <w:noProof w:val="0"/>
                  <w:sz w:val="28"/>
                  <w:rtl/>
                </w:rPr>
                <w:alias w:val="1478"/>
                <w:tag w:val="1478"/>
                <w:id w:val="160126198"/>
                <w:text w:multiLine="1"/>
              </w:sdtPr>
              <w:sdtEndPr/>
              <w:sdtContent>
                <w:r w:rsidR="00561AC0">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r w:rsidR="00561AC0">
                  <w:rPr>
                    <w:rFonts w:hint="cs"/>
                    <w:b/>
                    <w:bCs/>
                    <w:noProof w:val="0"/>
                    <w:sz w:val="28"/>
                    <w:rtl/>
                  </w:rPr>
                  <w:t xml:space="preserve"> </w:t>
                </w:r>
                <w:r w:rsidR="00561AC0">
                  <w:rPr>
                    <w:rFonts w:hint="cs"/>
                    <w:b/>
                    <w:bCs/>
                    <w:noProof w:val="0"/>
                    <w:sz w:val="28"/>
                  </w:rPr>
                  <w:t>XXX</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37A49">
              <w:rPr>
                <w:rFonts w:ascii="Arial (W1)" w:hAnsi="Arial (W1)" w:hint="cs"/>
                <w:b/>
                <w:bCs/>
                <w:noProof w:val="0"/>
                <w:sz w:val="28"/>
                <w:szCs w:val="28"/>
                <w:rtl/>
              </w:rPr>
              <w:t xml:space="preserve"> </w:t>
            </w:r>
            <w:r w:rsidR="00180256">
              <w:rPr>
                <w:rFonts w:ascii="Arial (W1)" w:hAnsi="Arial (W1)" w:hint="cs"/>
                <w:b/>
                <w:bCs/>
                <w:noProof w:val="0"/>
                <w:sz w:val="28"/>
                <w:szCs w:val="28"/>
                <w:rtl/>
              </w:rPr>
              <w:t>א. קלינגהופר ואח'</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5347D0" w:rsidP="00D37A49">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r w:rsidR="00D37A49">
                  <w:rPr>
                    <w:rFonts w:hint="cs"/>
                    <w:b/>
                    <w:bCs/>
                    <w:noProof w:val="0"/>
                    <w:sz w:val="28"/>
                    <w:rtl/>
                  </w:rPr>
                  <w:t>ה</w:t>
                </w:r>
              </w:sdtContent>
            </w:sdt>
          </w:p>
        </w:tc>
        <w:tc>
          <w:tcPr>
            <w:tcW w:w="5571" w:type="dxa"/>
          </w:tcPr>
          <w:p w:rsidR="00180256" w:rsidRDefault="005347D0" w:rsidP="00561AC0">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561AC0">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561AC0">
              <w:rPr>
                <w:rFonts w:hint="cs"/>
                <w:b/>
                <w:bCs/>
                <w:noProof w:val="0"/>
                <w:sz w:val="28"/>
              </w:rPr>
              <w:t>XXX</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180256">
              <w:rPr>
                <w:rFonts w:ascii="Arial (W1)" w:hAnsi="Arial (W1)" w:hint="cs"/>
                <w:b/>
                <w:bCs/>
                <w:noProof w:val="0"/>
                <w:sz w:val="28"/>
                <w:szCs w:val="28"/>
                <w:rtl/>
              </w:rPr>
              <w:t xml:space="preserve"> יוסף שאבי</w:t>
            </w:r>
          </w:p>
        </w:tc>
      </w:tr>
      <w:tr w:rsidR="00694556">
        <w:trPr>
          <w:jc w:val="center"/>
        </w:trPr>
        <w:tc>
          <w:tcPr>
            <w:tcW w:w="8820" w:type="dxa"/>
            <w:gridSpan w:val="3"/>
          </w:tcPr>
          <w:p w:rsidR="002E529E" w:rsidRDefault="002E529E">
            <w:pPr>
              <w:bidi w:val="0"/>
              <w:jc w:val="center"/>
              <w:rPr>
                <w:rFonts w:ascii="Arial" w:hAnsi="Arial"/>
                <w:b/>
                <w:bCs/>
                <w:noProof w:val="0"/>
                <w:sz w:val="28"/>
                <w:szCs w:val="28"/>
                <w:u w:val="single"/>
                <w:rtl/>
              </w:rPr>
            </w:pPr>
          </w:p>
          <w:p w:rsidR="00694556" w:rsidRDefault="00005C8B" w:rsidP="002E529E">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81737" w:rsidRDefault="00E81737" w:rsidP="00E81737">
      <w:pPr>
        <w:spacing w:line="360" w:lineRule="auto"/>
        <w:ind w:left="-142"/>
        <w:jc w:val="both"/>
        <w:rPr>
          <w:rFonts w:ascii="David" w:hAnsi="David" w:cs="Times New Roman"/>
          <w:noProof w:val="0"/>
        </w:rPr>
      </w:pPr>
    </w:p>
    <w:p w:rsidR="002E529E" w:rsidRDefault="00E81737" w:rsidP="00E81737">
      <w:pPr>
        <w:numPr>
          <w:ilvl w:val="0"/>
          <w:numId w:val="1"/>
        </w:numPr>
        <w:spacing w:line="360" w:lineRule="auto"/>
        <w:jc w:val="both"/>
        <w:rPr>
          <w:rFonts w:ascii="David" w:hAnsi="David"/>
        </w:rPr>
      </w:pPr>
      <w:r>
        <w:rPr>
          <w:rFonts w:ascii="David" w:hAnsi="David"/>
          <w:rtl/>
        </w:rPr>
        <w:t>בפניי ערעור על</w:t>
      </w:r>
      <w:r w:rsidR="00304171">
        <w:rPr>
          <w:rFonts w:ascii="David" w:hAnsi="David"/>
          <w:rtl/>
        </w:rPr>
        <w:t xml:space="preserve"> החלטות כב' רשם ההוצאה לפועל</w:t>
      </w:r>
      <w:r w:rsidR="00304171">
        <w:rPr>
          <w:rFonts w:ascii="David" w:hAnsi="David" w:hint="cs"/>
          <w:rtl/>
        </w:rPr>
        <w:t xml:space="preserve"> ניר</w:t>
      </w:r>
      <w:r>
        <w:rPr>
          <w:rFonts w:ascii="David" w:hAnsi="David"/>
          <w:rtl/>
        </w:rPr>
        <w:t xml:space="preserve"> שפר מיום 07.06.23 ומיום 15.06.23 שניתנו במסגרת תיק הוצל"פ לגביית מזונות שמספרו </w:t>
      </w:r>
      <w:r w:rsidR="002E529E">
        <w:rPr>
          <w:rFonts w:ascii="David" w:hAnsi="David" w:hint="cs"/>
          <w:rtl/>
        </w:rPr>
        <w:t xml:space="preserve"> </w:t>
      </w:r>
      <w:r w:rsidR="002E529E">
        <w:rPr>
          <w:rFonts w:ascii="David" w:hAnsi="David"/>
          <w:rtl/>
        </w:rPr>
        <w:t>527360-06-18</w:t>
      </w:r>
      <w:r w:rsidR="002E529E">
        <w:rPr>
          <w:rFonts w:ascii="David" w:hAnsi="David" w:hint="cs"/>
          <w:rtl/>
        </w:rPr>
        <w:t>.</w:t>
      </w:r>
    </w:p>
    <w:p w:rsidR="002E529E" w:rsidRDefault="002E529E" w:rsidP="00E81737">
      <w:pPr>
        <w:numPr>
          <w:ilvl w:val="0"/>
          <w:numId w:val="1"/>
        </w:numPr>
        <w:spacing w:line="360" w:lineRule="auto"/>
        <w:jc w:val="both"/>
        <w:rPr>
          <w:rFonts w:ascii="David" w:hAnsi="David"/>
        </w:rPr>
      </w:pPr>
      <w:r>
        <w:rPr>
          <w:rFonts w:ascii="David" w:hAnsi="David" w:hint="cs"/>
          <w:rtl/>
        </w:rPr>
        <w:t>בדיון שנערך ביום 22.5.24 הוסכם בין הצדדים כי ככל שלא יגיעו ביניהם להסכמות</w:t>
      </w:r>
      <w:r w:rsidR="00272D94">
        <w:rPr>
          <w:rFonts w:ascii="David" w:hAnsi="David" w:hint="cs"/>
          <w:rtl/>
        </w:rPr>
        <w:t xml:space="preserve"> לאחר הדיון</w:t>
      </w:r>
      <w:r>
        <w:rPr>
          <w:rFonts w:ascii="David" w:hAnsi="David" w:hint="cs"/>
          <w:rtl/>
        </w:rPr>
        <w:t xml:space="preserve"> </w:t>
      </w:r>
      <w:r>
        <w:rPr>
          <w:rFonts w:ascii="David" w:hAnsi="David"/>
          <w:rtl/>
        </w:rPr>
        <w:t>–</w:t>
      </w:r>
      <w:r>
        <w:rPr>
          <w:rFonts w:ascii="David" w:hAnsi="David" w:hint="cs"/>
          <w:rtl/>
        </w:rPr>
        <w:t xml:space="preserve"> יוגשו </w:t>
      </w:r>
      <w:r w:rsidR="003C114E">
        <w:rPr>
          <w:rFonts w:ascii="David" w:hAnsi="David" w:hint="cs"/>
          <w:rtl/>
        </w:rPr>
        <w:t>סיכומיהם ותנתן החלטה ללא צ</w:t>
      </w:r>
      <w:r>
        <w:rPr>
          <w:rFonts w:ascii="David" w:hAnsi="David" w:hint="cs"/>
          <w:rtl/>
        </w:rPr>
        <w:t>ורך בדיון נוסף</w:t>
      </w:r>
      <w:r w:rsidR="00272D94">
        <w:rPr>
          <w:rFonts w:ascii="David" w:hAnsi="David" w:hint="cs"/>
          <w:rtl/>
        </w:rPr>
        <w:t xml:space="preserve"> וחקירות</w:t>
      </w:r>
      <w:r>
        <w:rPr>
          <w:rFonts w:ascii="David" w:hAnsi="David" w:hint="cs"/>
          <w:rtl/>
        </w:rPr>
        <w:t xml:space="preserve">. </w:t>
      </w:r>
    </w:p>
    <w:p w:rsidR="002E529E" w:rsidRDefault="003C114E" w:rsidP="003C114E">
      <w:pPr>
        <w:numPr>
          <w:ilvl w:val="0"/>
          <w:numId w:val="1"/>
        </w:numPr>
        <w:spacing w:line="360" w:lineRule="auto"/>
        <w:jc w:val="both"/>
        <w:rPr>
          <w:rFonts w:ascii="David" w:hAnsi="David"/>
        </w:rPr>
      </w:pPr>
      <w:r>
        <w:rPr>
          <w:rFonts w:ascii="David" w:hAnsi="David" w:hint="cs"/>
          <w:rtl/>
        </w:rPr>
        <w:t xml:space="preserve">למרבה הצער הצדדים לא הגיעו להסכמות והגישו סיכומיהם. כעת בשלה העת להכריע. </w:t>
      </w:r>
    </w:p>
    <w:p w:rsidR="00E81737" w:rsidRDefault="00E81737" w:rsidP="00E81737">
      <w:pPr>
        <w:spacing w:line="360" w:lineRule="auto"/>
        <w:jc w:val="both"/>
        <w:rPr>
          <w:rFonts w:ascii="David" w:hAnsi="David"/>
        </w:rPr>
      </w:pPr>
    </w:p>
    <w:p w:rsidR="00E81737" w:rsidRPr="00EB79FB" w:rsidRDefault="003C114E" w:rsidP="00EB79FB">
      <w:pPr>
        <w:pStyle w:val="ad"/>
        <w:numPr>
          <w:ilvl w:val="0"/>
          <w:numId w:val="11"/>
        </w:numPr>
        <w:spacing w:line="360" w:lineRule="auto"/>
        <w:jc w:val="both"/>
        <w:rPr>
          <w:rFonts w:ascii="David" w:hAnsi="David"/>
          <w:rtl/>
        </w:rPr>
      </w:pPr>
      <w:r w:rsidRPr="00EB79FB">
        <w:rPr>
          <w:rFonts w:ascii="David" w:hAnsi="David" w:hint="cs"/>
          <w:b/>
          <w:bCs/>
          <w:u w:val="single"/>
          <w:rtl/>
        </w:rPr>
        <w:t>תמצית ה</w:t>
      </w:r>
      <w:r w:rsidR="00E81737" w:rsidRPr="00EB79FB">
        <w:rPr>
          <w:rFonts w:ascii="David" w:hAnsi="David"/>
          <w:b/>
          <w:bCs/>
          <w:u w:val="single"/>
          <w:rtl/>
        </w:rPr>
        <w:t xml:space="preserve">עובדות </w:t>
      </w:r>
      <w:r w:rsidRPr="00EB79FB">
        <w:rPr>
          <w:rFonts w:ascii="David" w:hAnsi="David" w:hint="cs"/>
          <w:b/>
          <w:bCs/>
          <w:u w:val="single"/>
          <w:rtl/>
        </w:rPr>
        <w:t>ה</w:t>
      </w:r>
      <w:r w:rsidR="00E81737" w:rsidRPr="00EB79FB">
        <w:rPr>
          <w:rFonts w:ascii="David" w:hAnsi="David"/>
          <w:b/>
          <w:bCs/>
          <w:u w:val="single"/>
          <w:rtl/>
        </w:rPr>
        <w:t>רלוונטיות</w:t>
      </w:r>
      <w:r w:rsidRPr="00EB79FB">
        <w:rPr>
          <w:rFonts w:ascii="David" w:hAnsi="David" w:hint="cs"/>
          <w:b/>
          <w:bCs/>
          <w:u w:val="single"/>
          <w:rtl/>
        </w:rPr>
        <w:t xml:space="preserve"> וההחלטות מושא הערעור</w:t>
      </w:r>
      <w:r w:rsidR="00E81737" w:rsidRPr="00EB79FB">
        <w:rPr>
          <w:rFonts w:ascii="David" w:hAnsi="David"/>
          <w:rtl/>
        </w:rPr>
        <w:t>:</w:t>
      </w:r>
    </w:p>
    <w:p w:rsidR="00E81737" w:rsidRDefault="00E81737" w:rsidP="00561AC0">
      <w:pPr>
        <w:pStyle w:val="ad"/>
        <w:numPr>
          <w:ilvl w:val="0"/>
          <w:numId w:val="1"/>
        </w:numPr>
        <w:spacing w:after="0" w:line="360" w:lineRule="auto"/>
        <w:jc w:val="both"/>
        <w:rPr>
          <w:rFonts w:ascii="David" w:eastAsia="Times New Roman" w:hAnsi="David" w:cs="David"/>
          <w:noProof/>
          <w:sz w:val="24"/>
          <w:szCs w:val="24"/>
        </w:rPr>
      </w:pPr>
      <w:r>
        <w:rPr>
          <w:rFonts w:ascii="David" w:eastAsia="Times New Roman" w:hAnsi="David" w:cs="David"/>
          <w:noProof/>
          <w:sz w:val="24"/>
          <w:szCs w:val="24"/>
          <w:rtl/>
        </w:rPr>
        <w:t xml:space="preserve">הצדדים הינם הורים לבן </w:t>
      </w:r>
      <w:r w:rsidR="00561AC0">
        <w:rPr>
          <w:rFonts w:ascii="David" w:eastAsia="Times New Roman" w:hAnsi="David" w:cs="David" w:hint="cs"/>
          <w:noProof/>
          <w:sz w:val="24"/>
          <w:szCs w:val="24"/>
        </w:rPr>
        <w:t>XXX</w:t>
      </w:r>
      <w:r>
        <w:rPr>
          <w:rFonts w:ascii="David" w:eastAsia="Times New Roman" w:hAnsi="David" w:cs="David"/>
          <w:noProof/>
          <w:sz w:val="24"/>
          <w:szCs w:val="24"/>
          <w:rtl/>
        </w:rPr>
        <w:t xml:space="preserve"> יליד</w:t>
      </w:r>
      <w:r w:rsidR="00561AC0">
        <w:rPr>
          <w:rFonts w:ascii="David" w:eastAsia="Times New Roman" w:hAnsi="David" w:cs="David" w:hint="cs"/>
          <w:noProof/>
          <w:sz w:val="24"/>
          <w:szCs w:val="24"/>
          <w:rtl/>
        </w:rPr>
        <w:t xml:space="preserve"> </w:t>
      </w:r>
      <w:r>
        <w:rPr>
          <w:rFonts w:ascii="David" w:eastAsia="Times New Roman" w:hAnsi="David" w:cs="David"/>
          <w:noProof/>
          <w:sz w:val="24"/>
          <w:szCs w:val="24"/>
          <w:rtl/>
        </w:rPr>
        <w:t xml:space="preserve">1998, כיום בן כ-26 שנים. פסק הדין אשר מורה על חיוב האב במזונות </w:t>
      </w:r>
      <w:r w:rsidR="004038F7">
        <w:rPr>
          <w:rFonts w:ascii="David" w:eastAsia="Times New Roman" w:hAnsi="David" w:cs="David"/>
          <w:noProof/>
          <w:sz w:val="24"/>
          <w:szCs w:val="24"/>
          <w:rtl/>
        </w:rPr>
        <w:t>הבן ניתן ביום 18.09.2017</w:t>
      </w:r>
      <w:r w:rsidR="004038F7">
        <w:rPr>
          <w:rFonts w:ascii="David" w:eastAsia="Times New Roman" w:hAnsi="David" w:cs="David" w:hint="cs"/>
          <w:noProof/>
          <w:sz w:val="24"/>
          <w:szCs w:val="24"/>
          <w:rtl/>
        </w:rPr>
        <w:t xml:space="preserve"> ובמסגרתו נקבע בין היתר כי:</w:t>
      </w:r>
    </w:p>
    <w:p w:rsidR="004038F7" w:rsidRPr="00180256" w:rsidRDefault="004038F7" w:rsidP="00561AC0">
      <w:pPr>
        <w:pStyle w:val="ad"/>
        <w:spacing w:after="0" w:line="360" w:lineRule="auto"/>
        <w:jc w:val="both"/>
        <w:rPr>
          <w:rFonts w:ascii="David" w:eastAsia="Times New Roman" w:hAnsi="David" w:cs="David"/>
          <w:b/>
          <w:bCs/>
          <w:noProof/>
          <w:rtl/>
        </w:rPr>
      </w:pPr>
      <w:r w:rsidRPr="00180256">
        <w:rPr>
          <w:rFonts w:ascii="David" w:eastAsia="Times New Roman" w:hAnsi="David" w:cs="David" w:hint="cs"/>
          <w:noProof/>
          <w:rtl/>
        </w:rPr>
        <w:t>"</w:t>
      </w:r>
      <w:r w:rsidRPr="00180256">
        <w:rPr>
          <w:rFonts w:ascii="David" w:eastAsia="Times New Roman" w:hAnsi="David" w:cs="David" w:hint="cs"/>
          <w:b/>
          <w:bCs/>
          <w:noProof/>
          <w:rtl/>
        </w:rPr>
        <w:t>סכום המזונות כאמור בסעיף 1, ישולם עד למועד גי</w:t>
      </w:r>
      <w:r w:rsidR="00304171">
        <w:rPr>
          <w:rFonts w:ascii="David" w:eastAsia="Times New Roman" w:hAnsi="David" w:cs="David" w:hint="cs"/>
          <w:b/>
          <w:bCs/>
          <w:noProof/>
          <w:rtl/>
        </w:rPr>
        <w:t>ו</w:t>
      </w:r>
      <w:r w:rsidRPr="00180256">
        <w:rPr>
          <w:rFonts w:ascii="David" w:eastAsia="Times New Roman" w:hAnsi="David" w:cs="David" w:hint="cs"/>
          <w:b/>
          <w:bCs/>
          <w:noProof/>
          <w:rtl/>
        </w:rPr>
        <w:t xml:space="preserve">סו של </w:t>
      </w:r>
      <w:r w:rsidR="00561AC0">
        <w:rPr>
          <w:rFonts w:ascii="David" w:eastAsia="Times New Roman" w:hAnsi="David" w:cs="David" w:hint="cs"/>
          <w:b/>
          <w:bCs/>
          <w:noProof/>
        </w:rPr>
        <w:t>XXX</w:t>
      </w:r>
      <w:r w:rsidR="00561AC0">
        <w:rPr>
          <w:rFonts w:ascii="David" w:eastAsia="Times New Roman" w:hAnsi="David" w:cs="David" w:hint="cs"/>
          <w:b/>
          <w:bCs/>
          <w:noProof/>
          <w:rtl/>
        </w:rPr>
        <w:t xml:space="preserve"> </w:t>
      </w:r>
      <w:r w:rsidRPr="00180256">
        <w:rPr>
          <w:rFonts w:ascii="David" w:eastAsia="Times New Roman" w:hAnsi="David" w:cs="David" w:hint="cs"/>
          <w:b/>
          <w:bCs/>
          <w:noProof/>
          <w:rtl/>
        </w:rPr>
        <w:t>או חודש</w:t>
      </w:r>
      <w:r w:rsidR="00304171">
        <w:rPr>
          <w:rFonts w:ascii="David" w:eastAsia="Times New Roman" w:hAnsi="David" w:cs="David" w:hint="cs"/>
          <w:b/>
          <w:bCs/>
          <w:noProof/>
          <w:rtl/>
        </w:rPr>
        <w:t xml:space="preserve"> 1/18</w:t>
      </w:r>
      <w:r w:rsidRPr="00180256">
        <w:rPr>
          <w:rFonts w:ascii="David" w:eastAsia="Times New Roman" w:hAnsi="David" w:cs="David" w:hint="cs"/>
          <w:b/>
          <w:bCs/>
          <w:noProof/>
          <w:rtl/>
        </w:rPr>
        <w:t xml:space="preserve">, לפי המוקדם מביניהם. החל ממועד זה, ככל שיתגייס </w:t>
      </w:r>
      <w:r w:rsidR="00561AC0">
        <w:rPr>
          <w:rFonts w:ascii="David" w:eastAsia="Times New Roman" w:hAnsi="David" w:cs="David" w:hint="cs"/>
          <w:b/>
          <w:bCs/>
          <w:noProof/>
        </w:rPr>
        <w:t>XXX</w:t>
      </w:r>
      <w:r w:rsidR="00561AC0">
        <w:rPr>
          <w:rFonts w:ascii="David" w:eastAsia="Times New Roman" w:hAnsi="David" w:cs="David" w:hint="cs"/>
          <w:b/>
          <w:bCs/>
          <w:noProof/>
          <w:rtl/>
        </w:rPr>
        <w:t xml:space="preserve"> </w:t>
      </w:r>
      <w:r w:rsidRPr="00180256">
        <w:rPr>
          <w:rFonts w:ascii="David" w:eastAsia="Times New Roman" w:hAnsi="David" w:cs="David" w:hint="cs"/>
          <w:b/>
          <w:bCs/>
          <w:noProof/>
          <w:rtl/>
        </w:rPr>
        <w:t xml:space="preserve">או ישרת שירות לאומי, ישולם במהלך שירותו (חובה) סך השווה ל-500 ₪. למען </w:t>
      </w:r>
      <w:r w:rsidR="00180256">
        <w:rPr>
          <w:rFonts w:ascii="David" w:eastAsia="Times New Roman" w:hAnsi="David" w:cs="David" w:hint="cs"/>
          <w:b/>
          <w:bCs/>
          <w:noProof/>
          <w:rtl/>
        </w:rPr>
        <w:t>הסר ספ</w:t>
      </w:r>
      <w:r w:rsidRPr="00180256">
        <w:rPr>
          <w:rFonts w:ascii="David" w:eastAsia="Times New Roman" w:hAnsi="David" w:cs="David" w:hint="cs"/>
          <w:b/>
          <w:bCs/>
          <w:noProof/>
          <w:rtl/>
        </w:rPr>
        <w:t>ק ככל ש</w:t>
      </w:r>
      <w:r w:rsidR="00561AC0">
        <w:rPr>
          <w:rFonts w:ascii="David" w:eastAsia="Times New Roman" w:hAnsi="David" w:cs="David" w:hint="cs"/>
          <w:b/>
          <w:bCs/>
          <w:noProof/>
        </w:rPr>
        <w:t>XXX</w:t>
      </w:r>
      <w:r w:rsidRPr="00180256">
        <w:rPr>
          <w:rFonts w:ascii="David" w:eastAsia="Times New Roman" w:hAnsi="David" w:cs="David" w:hint="cs"/>
          <w:b/>
          <w:bCs/>
          <w:noProof/>
          <w:rtl/>
        </w:rPr>
        <w:t xml:space="preserve"> לא יתגייס או ישרת בשירות לאומי, ייפסק חיובו של הנתבע במזונות במועד האמור".</w:t>
      </w:r>
    </w:p>
    <w:p w:rsidR="00304171" w:rsidRDefault="00E81737" w:rsidP="00383A46">
      <w:pPr>
        <w:pStyle w:val="ad"/>
        <w:numPr>
          <w:ilvl w:val="0"/>
          <w:numId w:val="1"/>
        </w:numPr>
        <w:spacing w:after="0" w:line="360" w:lineRule="auto"/>
        <w:jc w:val="both"/>
        <w:rPr>
          <w:rFonts w:ascii="David" w:eastAsia="Times New Roman" w:hAnsi="David" w:cs="David"/>
          <w:noProof/>
          <w:sz w:val="24"/>
          <w:szCs w:val="24"/>
        </w:rPr>
      </w:pPr>
      <w:r w:rsidRPr="00053B34">
        <w:rPr>
          <w:rFonts w:ascii="David" w:eastAsia="Times New Roman" w:hAnsi="David" w:cs="David"/>
          <w:noProof/>
          <w:sz w:val="24"/>
          <w:szCs w:val="24"/>
          <w:rtl/>
        </w:rPr>
        <w:t>תיק ההוצאה לפועל לגביית מזונות</w:t>
      </w:r>
      <w:r w:rsidRPr="00304171">
        <w:rPr>
          <w:rFonts w:ascii="David" w:eastAsia="Times New Roman" w:hAnsi="David" w:cs="David"/>
          <w:b/>
          <w:bCs/>
          <w:noProof/>
          <w:sz w:val="24"/>
          <w:szCs w:val="24"/>
          <w:rtl/>
        </w:rPr>
        <w:t xml:space="preserve"> נפתח</w:t>
      </w:r>
      <w:r w:rsidRPr="00180256">
        <w:rPr>
          <w:rFonts w:ascii="David" w:eastAsia="Times New Roman" w:hAnsi="David" w:cs="David"/>
          <w:b/>
          <w:bCs/>
          <w:noProof/>
          <w:sz w:val="24"/>
          <w:szCs w:val="24"/>
          <w:rtl/>
        </w:rPr>
        <w:t xml:space="preserve"> ביום 28.06.2018.</w:t>
      </w:r>
    </w:p>
    <w:p w:rsidR="00383A46" w:rsidRDefault="00383A46" w:rsidP="00383A46">
      <w:pPr>
        <w:pStyle w:val="ad"/>
        <w:numPr>
          <w:ilvl w:val="0"/>
          <w:numId w:val="1"/>
        </w:numPr>
        <w:spacing w:after="0" w:line="360" w:lineRule="auto"/>
        <w:jc w:val="both"/>
        <w:rPr>
          <w:rFonts w:ascii="David" w:eastAsia="Times New Roman" w:hAnsi="David" w:cs="David"/>
          <w:noProof/>
          <w:sz w:val="24"/>
          <w:szCs w:val="24"/>
        </w:rPr>
      </w:pPr>
      <w:r>
        <w:rPr>
          <w:rFonts w:ascii="David" w:eastAsia="Times New Roman" w:hAnsi="David" w:cs="David" w:hint="cs"/>
          <w:noProof/>
          <w:sz w:val="24"/>
          <w:szCs w:val="24"/>
          <w:rtl/>
        </w:rPr>
        <w:t xml:space="preserve">עיון בתדפיס דף </w:t>
      </w:r>
      <w:r w:rsidR="00304171">
        <w:rPr>
          <w:rFonts w:ascii="David" w:eastAsia="Times New Roman" w:hAnsi="David" w:cs="David" w:hint="cs"/>
          <w:noProof/>
          <w:sz w:val="24"/>
          <w:szCs w:val="24"/>
          <w:rtl/>
        </w:rPr>
        <w:t>ה</w:t>
      </w:r>
      <w:r>
        <w:rPr>
          <w:rFonts w:ascii="David" w:eastAsia="Times New Roman" w:hAnsi="David" w:cs="David" w:hint="cs"/>
          <w:noProof/>
          <w:sz w:val="24"/>
          <w:szCs w:val="24"/>
          <w:rtl/>
        </w:rPr>
        <w:t>חשבון מתיק ה</w:t>
      </w:r>
      <w:r w:rsidR="00304171">
        <w:rPr>
          <w:rFonts w:ascii="David" w:eastAsia="Times New Roman" w:hAnsi="David" w:cs="David" w:hint="cs"/>
          <w:noProof/>
          <w:sz w:val="24"/>
          <w:szCs w:val="24"/>
          <w:rtl/>
        </w:rPr>
        <w:t>ה</w:t>
      </w:r>
      <w:r>
        <w:rPr>
          <w:rFonts w:ascii="David" w:eastAsia="Times New Roman" w:hAnsi="David" w:cs="David" w:hint="cs"/>
          <w:noProof/>
          <w:sz w:val="24"/>
          <w:szCs w:val="24"/>
          <w:rtl/>
        </w:rPr>
        <w:t xml:space="preserve">וצל"פ שהוגש על ידי המערער מלמד כי </w:t>
      </w:r>
      <w:r w:rsidR="003121CE">
        <w:rPr>
          <w:rFonts w:ascii="David" w:eastAsia="Times New Roman" w:hAnsi="David" w:cs="David" w:hint="cs"/>
          <w:noProof/>
          <w:sz w:val="24"/>
          <w:szCs w:val="24"/>
          <w:rtl/>
        </w:rPr>
        <w:t xml:space="preserve">בתיק נגבו מזונות שוטפים </w:t>
      </w:r>
      <w:r>
        <w:rPr>
          <w:rFonts w:ascii="David" w:eastAsia="Times New Roman" w:hAnsi="David" w:cs="David" w:hint="cs"/>
          <w:noProof/>
          <w:sz w:val="24"/>
          <w:szCs w:val="24"/>
          <w:rtl/>
        </w:rPr>
        <w:t xml:space="preserve">עד ליום 1.10.18 ונכון ליום 7.6.23 עמדה יתרת החוב בתיק על סך של 48,056 ₪. </w:t>
      </w:r>
    </w:p>
    <w:p w:rsidR="00180256" w:rsidRDefault="00B935F3" w:rsidP="00BE0839">
      <w:pPr>
        <w:pStyle w:val="ad"/>
        <w:numPr>
          <w:ilvl w:val="0"/>
          <w:numId w:val="1"/>
        </w:numPr>
        <w:spacing w:after="0" w:line="360" w:lineRule="auto"/>
        <w:jc w:val="both"/>
        <w:rPr>
          <w:rFonts w:ascii="David" w:eastAsia="Times New Roman" w:hAnsi="David" w:cs="David"/>
          <w:noProof/>
          <w:sz w:val="24"/>
          <w:szCs w:val="24"/>
        </w:rPr>
      </w:pPr>
      <w:r>
        <w:rPr>
          <w:rFonts w:ascii="David" w:eastAsia="Times New Roman" w:hAnsi="David" w:cs="David" w:hint="cs"/>
          <w:noProof/>
          <w:sz w:val="24"/>
          <w:szCs w:val="24"/>
          <w:rtl/>
        </w:rPr>
        <w:t xml:space="preserve">מהחלטות כב' הרשם שצורפו עולה כי </w:t>
      </w:r>
      <w:r w:rsidR="00BE0839">
        <w:rPr>
          <w:rFonts w:ascii="David" w:eastAsia="Times New Roman" w:hAnsi="David" w:cs="David" w:hint="cs"/>
          <w:noProof/>
          <w:sz w:val="24"/>
          <w:szCs w:val="24"/>
          <w:rtl/>
        </w:rPr>
        <w:t xml:space="preserve">כבר </w:t>
      </w:r>
      <w:r>
        <w:rPr>
          <w:rFonts w:ascii="David" w:eastAsia="Times New Roman" w:hAnsi="David" w:cs="David" w:hint="cs"/>
          <w:noProof/>
          <w:sz w:val="24"/>
          <w:szCs w:val="24"/>
          <w:rtl/>
        </w:rPr>
        <w:t>ביום 30.3.22 נדחת</w:t>
      </w:r>
      <w:r w:rsidR="00BE0839">
        <w:rPr>
          <w:rFonts w:ascii="David" w:eastAsia="Times New Roman" w:hAnsi="David" w:cs="David" w:hint="cs"/>
          <w:noProof/>
          <w:sz w:val="24"/>
          <w:szCs w:val="24"/>
          <w:rtl/>
        </w:rPr>
        <w:t>ה בקשת המערער לפריסת החוב בתיק לתשלומים בסך ש</w:t>
      </w:r>
      <w:r>
        <w:rPr>
          <w:rFonts w:ascii="David" w:eastAsia="Times New Roman" w:hAnsi="David" w:cs="David" w:hint="cs"/>
          <w:noProof/>
          <w:sz w:val="24"/>
          <w:szCs w:val="24"/>
          <w:rtl/>
        </w:rPr>
        <w:t>ל כ-200 ₪ תוך ש</w:t>
      </w:r>
      <w:r w:rsidR="00180256">
        <w:rPr>
          <w:rFonts w:ascii="David" w:eastAsia="Times New Roman" w:hAnsi="David" w:cs="David" w:hint="cs"/>
          <w:noProof/>
          <w:sz w:val="24"/>
          <w:szCs w:val="24"/>
          <w:rtl/>
        </w:rPr>
        <w:t>צוין</w:t>
      </w:r>
      <w:r>
        <w:rPr>
          <w:rFonts w:ascii="David" w:eastAsia="Times New Roman" w:hAnsi="David" w:cs="David" w:hint="cs"/>
          <w:noProof/>
          <w:sz w:val="24"/>
          <w:szCs w:val="24"/>
          <w:rtl/>
        </w:rPr>
        <w:t xml:space="preserve"> כי לא יעלה על הדעת להורות על פריסת חוב לתשלומים אשר לא יובילו לסילוקו. בהחלטה מיום 24.4.22 נדחתה גם בקשה נוספת של </w:t>
      </w:r>
      <w:r w:rsidR="004038F7">
        <w:rPr>
          <w:rFonts w:ascii="David" w:eastAsia="Times New Roman" w:hAnsi="David" w:cs="David" w:hint="cs"/>
          <w:noProof/>
          <w:sz w:val="24"/>
          <w:szCs w:val="24"/>
          <w:rtl/>
        </w:rPr>
        <w:t>המערער לפריסת החוב בנימוק כי לא צורפו אסמכתאות הנד</w:t>
      </w:r>
      <w:r w:rsidR="00BE0839">
        <w:rPr>
          <w:rFonts w:ascii="David" w:eastAsia="Times New Roman" w:hAnsi="David" w:cs="David" w:hint="cs"/>
          <w:noProof/>
          <w:sz w:val="24"/>
          <w:szCs w:val="24"/>
          <w:rtl/>
        </w:rPr>
        <w:t xml:space="preserve">רשות להוכחת מצבו הכלכלי של החייב </w:t>
      </w:r>
      <w:r w:rsidR="004038F7">
        <w:rPr>
          <w:rFonts w:ascii="David" w:eastAsia="Times New Roman" w:hAnsi="David" w:cs="David" w:hint="cs"/>
          <w:noProof/>
          <w:sz w:val="24"/>
          <w:szCs w:val="24"/>
          <w:rtl/>
        </w:rPr>
        <w:t>וכן כי על החייב להתחיל לעבוד בטרם יי</w:t>
      </w:r>
      <w:r w:rsidR="00180256">
        <w:rPr>
          <w:rFonts w:ascii="David" w:eastAsia="Times New Roman" w:hAnsi="David" w:cs="David" w:hint="cs"/>
          <w:noProof/>
          <w:sz w:val="24"/>
          <w:szCs w:val="24"/>
          <w:rtl/>
        </w:rPr>
        <w:t xml:space="preserve">פרס חוב העבר וזאת </w:t>
      </w:r>
      <w:r w:rsidR="00BE0839">
        <w:rPr>
          <w:rFonts w:ascii="David" w:eastAsia="Times New Roman" w:hAnsi="David" w:cs="David" w:hint="cs"/>
          <w:noProof/>
          <w:sz w:val="24"/>
          <w:szCs w:val="24"/>
          <w:rtl/>
        </w:rPr>
        <w:t>ב</w:t>
      </w:r>
      <w:r w:rsidR="00180256">
        <w:rPr>
          <w:rFonts w:ascii="David" w:eastAsia="Times New Roman" w:hAnsi="David" w:cs="David" w:hint="cs"/>
          <w:noProof/>
          <w:sz w:val="24"/>
          <w:szCs w:val="24"/>
          <w:rtl/>
        </w:rPr>
        <w:t>כדי להראות מצ</w:t>
      </w:r>
      <w:r w:rsidR="004038F7">
        <w:rPr>
          <w:rFonts w:ascii="David" w:eastAsia="Times New Roman" w:hAnsi="David" w:cs="David" w:hint="cs"/>
          <w:noProof/>
          <w:sz w:val="24"/>
          <w:szCs w:val="24"/>
          <w:rtl/>
        </w:rPr>
        <w:t>ב כלכלי המאפשר לו לכלכל את עצמו תוך תשלום סך ראוי והוגן על חשבון החוב. כן נקבע בהחלטה כי אין כל הצדקה להיעתר לבקשת החייב</w:t>
      </w:r>
      <w:r w:rsidR="00BE0839">
        <w:rPr>
          <w:rFonts w:ascii="David" w:eastAsia="Times New Roman" w:hAnsi="David" w:cs="David" w:hint="cs"/>
          <w:noProof/>
          <w:sz w:val="24"/>
          <w:szCs w:val="24"/>
          <w:rtl/>
        </w:rPr>
        <w:t xml:space="preserve"> לפריסת חוב</w:t>
      </w:r>
      <w:r w:rsidR="004038F7">
        <w:rPr>
          <w:rFonts w:ascii="David" w:eastAsia="Times New Roman" w:hAnsi="David" w:cs="David" w:hint="cs"/>
          <w:noProof/>
          <w:sz w:val="24"/>
          <w:szCs w:val="24"/>
          <w:rtl/>
        </w:rPr>
        <w:t xml:space="preserve"> שעה שידוע מראש כי אין לו אפשרות לעמוד בתשלומים</w:t>
      </w:r>
      <w:r w:rsidR="00180256">
        <w:rPr>
          <w:rFonts w:ascii="David" w:eastAsia="Times New Roman" w:hAnsi="David" w:cs="David" w:hint="cs"/>
          <w:noProof/>
          <w:sz w:val="24"/>
          <w:szCs w:val="24"/>
          <w:rtl/>
        </w:rPr>
        <w:t>.</w:t>
      </w:r>
    </w:p>
    <w:p w:rsidR="00D37A49" w:rsidRDefault="00D37A49" w:rsidP="00561AC0">
      <w:pPr>
        <w:pStyle w:val="ad"/>
        <w:numPr>
          <w:ilvl w:val="0"/>
          <w:numId w:val="1"/>
        </w:numPr>
        <w:spacing w:after="0" w:line="360" w:lineRule="auto"/>
        <w:jc w:val="both"/>
        <w:rPr>
          <w:rFonts w:ascii="David" w:eastAsia="Times New Roman" w:hAnsi="David" w:cs="David"/>
          <w:noProof/>
          <w:sz w:val="24"/>
          <w:szCs w:val="24"/>
        </w:rPr>
      </w:pPr>
      <w:r w:rsidRPr="00FE5937">
        <w:rPr>
          <w:rFonts w:ascii="David" w:eastAsia="Times New Roman" w:hAnsi="David" w:cs="David" w:hint="cs"/>
          <w:noProof/>
          <w:sz w:val="24"/>
          <w:szCs w:val="24"/>
          <w:rtl/>
        </w:rPr>
        <w:lastRenderedPageBreak/>
        <w:t xml:space="preserve">ביום 24.5.2023 הגישה המשיבה בקשה להגדלת חוב ע"ס של 19,516 ₪ בגין תשלומי המזונות עבור הבן </w:t>
      </w:r>
      <w:r w:rsidR="00561AC0">
        <w:rPr>
          <w:rFonts w:ascii="David" w:eastAsia="Times New Roman" w:hAnsi="David" w:cs="David" w:hint="cs"/>
          <w:noProof/>
          <w:sz w:val="24"/>
          <w:szCs w:val="24"/>
        </w:rPr>
        <w:t>XXX</w:t>
      </w:r>
      <w:r w:rsidRPr="00FE5937">
        <w:rPr>
          <w:rFonts w:ascii="David" w:eastAsia="Times New Roman" w:hAnsi="David" w:cs="David" w:hint="cs"/>
          <w:noProof/>
          <w:sz w:val="24"/>
          <w:szCs w:val="24"/>
          <w:rtl/>
        </w:rPr>
        <w:t xml:space="preserve"> בתקופת השירות הצבאי (10/18-7/21). לבקשה צורפה חוות הדעת אשר כללה חישובי הצמדה בלבד, ללא ריביות.</w:t>
      </w:r>
      <w:r w:rsidR="00CC7B66">
        <w:rPr>
          <w:rFonts w:ascii="David" w:eastAsia="Times New Roman" w:hAnsi="David" w:cs="David" w:hint="cs"/>
          <w:noProof/>
          <w:sz w:val="24"/>
          <w:szCs w:val="24"/>
          <w:rtl/>
        </w:rPr>
        <w:t xml:space="preserve"> כן צורפה אסמכתא לעניין מועד השירות הצבאי של הבן.</w:t>
      </w:r>
    </w:p>
    <w:p w:rsidR="003C114E" w:rsidRDefault="00E81737" w:rsidP="003C114E">
      <w:pPr>
        <w:pStyle w:val="ad"/>
        <w:numPr>
          <w:ilvl w:val="0"/>
          <w:numId w:val="1"/>
        </w:numPr>
        <w:spacing w:after="0" w:line="360" w:lineRule="auto"/>
        <w:jc w:val="both"/>
        <w:rPr>
          <w:rFonts w:ascii="David" w:eastAsia="Times New Roman" w:hAnsi="David" w:cs="David"/>
          <w:noProof/>
          <w:sz w:val="24"/>
          <w:szCs w:val="24"/>
        </w:rPr>
      </w:pPr>
      <w:r w:rsidRPr="00FE5937">
        <w:rPr>
          <w:rFonts w:ascii="David" w:eastAsia="Times New Roman" w:hAnsi="David" w:cs="David"/>
          <w:b/>
          <w:bCs/>
          <w:noProof/>
          <w:sz w:val="24"/>
          <w:szCs w:val="24"/>
          <w:rtl/>
        </w:rPr>
        <w:t xml:space="preserve">בהחלטת </w:t>
      </w:r>
      <w:r w:rsidR="003C114E" w:rsidRPr="00FE5937">
        <w:rPr>
          <w:rFonts w:ascii="David" w:eastAsia="Times New Roman" w:hAnsi="David" w:cs="David" w:hint="cs"/>
          <w:b/>
          <w:bCs/>
          <w:noProof/>
          <w:sz w:val="24"/>
          <w:szCs w:val="24"/>
          <w:rtl/>
        </w:rPr>
        <w:t xml:space="preserve">כב' </w:t>
      </w:r>
      <w:r w:rsidRPr="00FE5937">
        <w:rPr>
          <w:rFonts w:ascii="David" w:eastAsia="Times New Roman" w:hAnsi="David" w:cs="David"/>
          <w:b/>
          <w:bCs/>
          <w:noProof/>
          <w:sz w:val="24"/>
          <w:szCs w:val="24"/>
          <w:rtl/>
        </w:rPr>
        <w:t xml:space="preserve">הרשם </w:t>
      </w:r>
      <w:r w:rsidR="003C114E" w:rsidRPr="00FE5937">
        <w:rPr>
          <w:rFonts w:ascii="David" w:eastAsia="Times New Roman" w:hAnsi="David" w:cs="David" w:hint="cs"/>
          <w:b/>
          <w:bCs/>
          <w:noProof/>
          <w:sz w:val="24"/>
          <w:szCs w:val="24"/>
          <w:rtl/>
        </w:rPr>
        <w:t xml:space="preserve">שפר </w:t>
      </w:r>
      <w:r w:rsidRPr="00FE5937">
        <w:rPr>
          <w:rFonts w:ascii="David" w:eastAsia="Times New Roman" w:hAnsi="David" w:cs="David"/>
          <w:b/>
          <w:bCs/>
          <w:noProof/>
          <w:sz w:val="24"/>
          <w:szCs w:val="24"/>
          <w:rtl/>
        </w:rPr>
        <w:t>מיום 07.06.23</w:t>
      </w:r>
      <w:r>
        <w:rPr>
          <w:rFonts w:ascii="David" w:eastAsia="Times New Roman" w:hAnsi="David" w:cs="David"/>
          <w:noProof/>
          <w:sz w:val="24"/>
          <w:szCs w:val="24"/>
          <w:rtl/>
        </w:rPr>
        <w:t xml:space="preserve">, אושרה הגדלת החוב בסך 19,516 ₪ בגין מזונות בתקופת שירותו הצבאי </w:t>
      </w:r>
      <w:r w:rsidR="003C114E">
        <w:rPr>
          <w:rFonts w:ascii="David" w:eastAsia="Times New Roman" w:hAnsi="David" w:cs="David"/>
          <w:noProof/>
          <w:sz w:val="24"/>
          <w:szCs w:val="24"/>
          <w:rtl/>
        </w:rPr>
        <w:t>של הבן בין החודשים 10/18-07/21</w:t>
      </w:r>
      <w:r w:rsidR="003C114E">
        <w:rPr>
          <w:rFonts w:ascii="David" w:eastAsia="Times New Roman" w:hAnsi="David" w:cs="David" w:hint="cs"/>
          <w:noProof/>
          <w:sz w:val="24"/>
          <w:szCs w:val="24"/>
          <w:rtl/>
        </w:rPr>
        <w:t>. בהחלטה נקבע</w:t>
      </w:r>
      <w:r w:rsidR="00BE0839">
        <w:rPr>
          <w:rFonts w:ascii="David" w:eastAsia="Times New Roman" w:hAnsi="David" w:cs="David" w:hint="cs"/>
          <w:noProof/>
          <w:sz w:val="24"/>
          <w:szCs w:val="24"/>
          <w:rtl/>
        </w:rPr>
        <w:t>,</w:t>
      </w:r>
      <w:r w:rsidR="003C114E">
        <w:rPr>
          <w:rFonts w:ascii="David" w:eastAsia="Times New Roman" w:hAnsi="David" w:cs="David" w:hint="cs"/>
          <w:noProof/>
          <w:sz w:val="24"/>
          <w:szCs w:val="24"/>
          <w:rtl/>
        </w:rPr>
        <w:t xml:space="preserve"> בין היתר</w:t>
      </w:r>
      <w:r w:rsidR="00BE0839">
        <w:rPr>
          <w:rFonts w:ascii="David" w:eastAsia="Times New Roman" w:hAnsi="David" w:cs="David" w:hint="cs"/>
          <w:noProof/>
          <w:sz w:val="24"/>
          <w:szCs w:val="24"/>
          <w:rtl/>
        </w:rPr>
        <w:t>,</w:t>
      </w:r>
      <w:r w:rsidR="003C114E">
        <w:rPr>
          <w:rFonts w:ascii="David" w:eastAsia="Times New Roman" w:hAnsi="David" w:cs="David" w:hint="cs"/>
          <w:noProof/>
          <w:sz w:val="24"/>
          <w:szCs w:val="24"/>
          <w:rtl/>
        </w:rPr>
        <w:t xml:space="preserve"> כי:</w:t>
      </w:r>
    </w:p>
    <w:p w:rsidR="00B711AE" w:rsidRPr="00180256" w:rsidRDefault="003C114E" w:rsidP="003C114E">
      <w:pPr>
        <w:pStyle w:val="ad"/>
        <w:spacing w:after="0" w:line="360" w:lineRule="auto"/>
        <w:jc w:val="both"/>
        <w:rPr>
          <w:rFonts w:ascii="David" w:eastAsia="Times New Roman" w:hAnsi="David" w:cs="David"/>
          <w:b/>
          <w:bCs/>
          <w:noProof/>
          <w:rtl/>
        </w:rPr>
      </w:pPr>
      <w:r w:rsidRPr="00180256">
        <w:rPr>
          <w:rFonts w:ascii="David" w:eastAsia="Times New Roman" w:hAnsi="David" w:cs="David" w:hint="cs"/>
          <w:b/>
          <w:bCs/>
          <w:noProof/>
          <w:rtl/>
        </w:rPr>
        <w:t>"גם את טענות החייב לענין תחולתו של סעיף 11(</w:t>
      </w:r>
      <w:r w:rsidR="00B711AE" w:rsidRPr="00180256">
        <w:rPr>
          <w:rFonts w:ascii="David" w:eastAsia="Times New Roman" w:hAnsi="David" w:cs="David" w:hint="cs"/>
          <w:b/>
          <w:bCs/>
          <w:noProof/>
          <w:rtl/>
        </w:rPr>
        <w:t>ב) אין לקבל. עסקינן בתיק מזונות שנפתח בחודש 6/18, כאשר החייב מודע לפתיחתו, לכל הפחות מחודש 2/19- מועד מסירת האזהרה. בהתאם לפסיקה הנוהגת, באפשרות הזוכה לגבות ההוצאות החל ממועד פתיחת התיק. ראה....</w:t>
      </w:r>
    </w:p>
    <w:p w:rsidR="00B711AE" w:rsidRPr="00180256" w:rsidRDefault="00B711AE" w:rsidP="003C114E">
      <w:pPr>
        <w:pStyle w:val="ad"/>
        <w:spacing w:after="0" w:line="360" w:lineRule="auto"/>
        <w:jc w:val="both"/>
        <w:rPr>
          <w:rFonts w:ascii="David" w:eastAsia="Times New Roman" w:hAnsi="David" w:cs="David"/>
          <w:b/>
          <w:bCs/>
          <w:noProof/>
        </w:rPr>
      </w:pPr>
      <w:r w:rsidRPr="00180256">
        <w:rPr>
          <w:rFonts w:ascii="David" w:eastAsia="Times New Roman" w:hAnsi="David" w:cs="David" w:hint="cs"/>
          <w:b/>
          <w:bCs/>
          <w:noProof/>
          <w:rtl/>
        </w:rPr>
        <w:t>נוכח האמור, בהתאם לפסק הדין ולאסמכתאות שהוגשו אני מורה על הגדלת חוב בסך של 19,516 ₪ נכון ליום 24 מאי 2023 בגין תשלומים המזונות בתקופת השירות הצבאי כמפורט לעיל".</w:t>
      </w:r>
    </w:p>
    <w:p w:rsidR="00496EDF" w:rsidRDefault="00E81737" w:rsidP="00180256">
      <w:pPr>
        <w:pStyle w:val="ad"/>
        <w:numPr>
          <w:ilvl w:val="0"/>
          <w:numId w:val="1"/>
        </w:numPr>
        <w:spacing w:after="0" w:line="360" w:lineRule="auto"/>
        <w:jc w:val="both"/>
        <w:rPr>
          <w:rFonts w:ascii="David" w:eastAsia="Times New Roman" w:hAnsi="David" w:cs="David"/>
          <w:noProof/>
          <w:sz w:val="24"/>
          <w:szCs w:val="24"/>
        </w:rPr>
      </w:pPr>
      <w:r w:rsidRPr="00FE5937">
        <w:rPr>
          <w:rFonts w:ascii="David" w:eastAsia="Times New Roman" w:hAnsi="David" w:cs="David"/>
          <w:b/>
          <w:bCs/>
          <w:noProof/>
          <w:sz w:val="24"/>
          <w:szCs w:val="24"/>
          <w:rtl/>
        </w:rPr>
        <w:t xml:space="preserve">בהחלטת </w:t>
      </w:r>
      <w:r w:rsidR="003C114E" w:rsidRPr="00FE5937">
        <w:rPr>
          <w:rFonts w:ascii="David" w:eastAsia="Times New Roman" w:hAnsi="David" w:cs="David" w:hint="cs"/>
          <w:b/>
          <w:bCs/>
          <w:noProof/>
          <w:sz w:val="24"/>
          <w:szCs w:val="24"/>
          <w:rtl/>
        </w:rPr>
        <w:t xml:space="preserve">כב' </w:t>
      </w:r>
      <w:r w:rsidRPr="00FE5937">
        <w:rPr>
          <w:rFonts w:ascii="David" w:eastAsia="Times New Roman" w:hAnsi="David" w:cs="David"/>
          <w:b/>
          <w:bCs/>
          <w:noProof/>
          <w:sz w:val="24"/>
          <w:szCs w:val="24"/>
          <w:rtl/>
        </w:rPr>
        <w:t xml:space="preserve">הרשם </w:t>
      </w:r>
      <w:r w:rsidR="003C114E" w:rsidRPr="00FE5937">
        <w:rPr>
          <w:rFonts w:ascii="David" w:eastAsia="Times New Roman" w:hAnsi="David" w:cs="David" w:hint="cs"/>
          <w:b/>
          <w:bCs/>
          <w:noProof/>
          <w:sz w:val="24"/>
          <w:szCs w:val="24"/>
          <w:rtl/>
        </w:rPr>
        <w:t xml:space="preserve">שפר </w:t>
      </w:r>
      <w:r w:rsidRPr="00FE5937">
        <w:rPr>
          <w:rFonts w:ascii="David" w:eastAsia="Times New Roman" w:hAnsi="David" w:cs="David"/>
          <w:b/>
          <w:bCs/>
          <w:noProof/>
          <w:sz w:val="24"/>
          <w:szCs w:val="24"/>
          <w:rtl/>
        </w:rPr>
        <w:t>מיום 15.06.23</w:t>
      </w:r>
      <w:r>
        <w:rPr>
          <w:rFonts w:ascii="David" w:eastAsia="Times New Roman" w:hAnsi="David" w:cs="David"/>
          <w:noProof/>
          <w:sz w:val="24"/>
          <w:szCs w:val="24"/>
          <w:rtl/>
        </w:rPr>
        <w:t xml:space="preserve"> נד</w:t>
      </w:r>
      <w:r w:rsidR="00180256">
        <w:rPr>
          <w:rFonts w:ascii="David" w:eastAsia="Times New Roman" w:hAnsi="David" w:cs="David"/>
          <w:noProof/>
          <w:sz w:val="24"/>
          <w:szCs w:val="24"/>
          <w:rtl/>
        </w:rPr>
        <w:t>חתה בקש</w:t>
      </w:r>
      <w:r w:rsidR="00180256">
        <w:rPr>
          <w:rFonts w:ascii="David" w:eastAsia="Times New Roman" w:hAnsi="David" w:cs="David" w:hint="cs"/>
          <w:noProof/>
          <w:sz w:val="24"/>
          <w:szCs w:val="24"/>
          <w:rtl/>
        </w:rPr>
        <w:t xml:space="preserve">ה נוספת של </w:t>
      </w:r>
      <w:r w:rsidR="003C114E">
        <w:rPr>
          <w:rFonts w:ascii="David" w:eastAsia="Times New Roman" w:hAnsi="David" w:cs="David"/>
          <w:noProof/>
          <w:sz w:val="24"/>
          <w:szCs w:val="24"/>
          <w:rtl/>
        </w:rPr>
        <w:t>המערער לפריסת חוב העבר</w:t>
      </w:r>
      <w:r w:rsidR="00496EDF">
        <w:rPr>
          <w:rFonts w:ascii="David" w:eastAsia="Times New Roman" w:hAnsi="David" w:cs="David" w:hint="cs"/>
          <w:noProof/>
          <w:sz w:val="24"/>
          <w:szCs w:val="24"/>
          <w:rtl/>
        </w:rPr>
        <w:t>. בהחלטה נקבע בין היתר כדלקמן:</w:t>
      </w:r>
    </w:p>
    <w:p w:rsidR="003C114E" w:rsidRPr="00180256" w:rsidRDefault="00436227" w:rsidP="00272D94">
      <w:pPr>
        <w:pStyle w:val="ad"/>
        <w:spacing w:after="0" w:line="360" w:lineRule="auto"/>
        <w:jc w:val="both"/>
        <w:rPr>
          <w:rFonts w:ascii="David" w:eastAsia="Times New Roman" w:hAnsi="David" w:cs="David"/>
          <w:b/>
          <w:bCs/>
          <w:noProof/>
          <w:rtl/>
        </w:rPr>
      </w:pPr>
      <w:r w:rsidRPr="00180256">
        <w:rPr>
          <w:rFonts w:ascii="David" w:eastAsia="Times New Roman" w:hAnsi="David" w:cs="David" w:hint="cs"/>
          <w:b/>
          <w:bCs/>
          <w:noProof/>
          <w:rtl/>
        </w:rPr>
        <w:t>"לבקשת החייב, הכוללת 68 עמודים, לא צורפו אסמכתאות רלוו</w:t>
      </w:r>
      <w:r w:rsidR="00180256" w:rsidRPr="00180256">
        <w:rPr>
          <w:rFonts w:ascii="David" w:eastAsia="Times New Roman" w:hAnsi="David" w:cs="David" w:hint="cs"/>
          <w:b/>
          <w:bCs/>
          <w:noProof/>
          <w:rtl/>
        </w:rPr>
        <w:t>נטיות כלשהן למעט אישורים רפואיים</w:t>
      </w:r>
      <w:r w:rsidRPr="00180256">
        <w:rPr>
          <w:rFonts w:ascii="David" w:eastAsia="Times New Roman" w:hAnsi="David" w:cs="David" w:hint="cs"/>
          <w:b/>
          <w:bCs/>
          <w:noProof/>
          <w:rtl/>
        </w:rPr>
        <w:t xml:space="preserve">, אסמכתאות על חובות למוסד לביטוח לאומי ורשימת תיקי הוצאה לפועל. </w:t>
      </w:r>
    </w:p>
    <w:p w:rsidR="00436227" w:rsidRPr="00180256" w:rsidRDefault="00436227" w:rsidP="00272D94">
      <w:pPr>
        <w:pStyle w:val="ad"/>
        <w:spacing w:after="0" w:line="360" w:lineRule="auto"/>
        <w:jc w:val="both"/>
        <w:rPr>
          <w:rFonts w:ascii="David" w:eastAsia="Times New Roman" w:hAnsi="David" w:cs="David"/>
          <w:b/>
          <w:bCs/>
          <w:noProof/>
          <w:u w:val="single"/>
          <w:rtl/>
        </w:rPr>
      </w:pPr>
      <w:r w:rsidRPr="00180256">
        <w:rPr>
          <w:rFonts w:ascii="David" w:eastAsia="Times New Roman" w:hAnsi="David" w:cs="David" w:hint="cs"/>
          <w:b/>
          <w:bCs/>
          <w:noProof/>
          <w:rtl/>
        </w:rPr>
        <w:t>אין להיעתר לבקשה מאותם הטעמים המפורטים בהחלטות. מעבר לעובדה כי החיי</w:t>
      </w:r>
      <w:r w:rsidR="00180256" w:rsidRPr="00180256">
        <w:rPr>
          <w:rFonts w:ascii="David" w:eastAsia="Times New Roman" w:hAnsi="David" w:cs="David" w:hint="cs"/>
          <w:b/>
          <w:bCs/>
          <w:noProof/>
          <w:rtl/>
        </w:rPr>
        <w:t xml:space="preserve">ב אינו מוסר את פרטי אימו, מידע </w:t>
      </w:r>
      <w:r w:rsidRPr="00180256">
        <w:rPr>
          <w:rFonts w:ascii="David" w:eastAsia="Times New Roman" w:hAnsi="David" w:cs="David" w:hint="cs"/>
          <w:b/>
          <w:bCs/>
          <w:noProof/>
          <w:rtl/>
        </w:rPr>
        <w:t xml:space="preserve">על הכנסותיה או מקור הסיוע מחברים הנטען, </w:t>
      </w:r>
      <w:r w:rsidRPr="00180256">
        <w:rPr>
          <w:rFonts w:ascii="David" w:eastAsia="Times New Roman" w:hAnsi="David" w:cs="David" w:hint="cs"/>
          <w:b/>
          <w:bCs/>
          <w:noProof/>
          <w:u w:val="single"/>
          <w:rtl/>
        </w:rPr>
        <w:t>לא יעלה על הדעת כי החייב אינו עובד בשל חובותיו והעיקולים שהוטלו ועליו למצוא עבודה מסודרת ולהציג מצב כלכלי המאפשר לו לקים עצמו ולשלם סך ראוי והגון על חשבון חוב העבר.</w:t>
      </w:r>
    </w:p>
    <w:p w:rsidR="00436227" w:rsidRPr="00180256" w:rsidRDefault="00436227" w:rsidP="00BE0839">
      <w:pPr>
        <w:pStyle w:val="ad"/>
        <w:spacing w:after="0" w:line="360" w:lineRule="auto"/>
        <w:jc w:val="both"/>
        <w:rPr>
          <w:rFonts w:ascii="David" w:eastAsia="Times New Roman" w:hAnsi="David" w:cs="David"/>
          <w:b/>
          <w:bCs/>
          <w:noProof/>
          <w:rtl/>
        </w:rPr>
      </w:pPr>
      <w:r w:rsidRPr="00180256">
        <w:rPr>
          <w:rFonts w:ascii="David" w:eastAsia="Times New Roman" w:hAnsi="David" w:cs="David" w:hint="cs"/>
          <w:b/>
          <w:bCs/>
          <w:noProof/>
          <w:rtl/>
        </w:rPr>
        <w:t>החייב אינו מציג אישור על מעמד לא עובד מהמוסד לביטוח לאומי או על זכאותו לקצבה כלש</w:t>
      </w:r>
      <w:r w:rsidR="00BE0839">
        <w:rPr>
          <w:rFonts w:ascii="David" w:eastAsia="Times New Roman" w:hAnsi="David" w:cs="David" w:hint="cs"/>
          <w:b/>
          <w:bCs/>
          <w:noProof/>
          <w:rtl/>
        </w:rPr>
        <w:t>ה</w:t>
      </w:r>
      <w:r w:rsidRPr="00180256">
        <w:rPr>
          <w:rFonts w:ascii="David" w:eastAsia="Times New Roman" w:hAnsi="David" w:cs="David" w:hint="cs"/>
          <w:b/>
          <w:bCs/>
          <w:noProof/>
          <w:rtl/>
        </w:rPr>
        <w:t xml:space="preserve">י (לרבות הבטחת הכנסה או נכות) ונראה כי ככל שהחייב </w:t>
      </w:r>
      <w:r w:rsidR="00180256" w:rsidRPr="00180256">
        <w:rPr>
          <w:rFonts w:ascii="David" w:eastAsia="Times New Roman" w:hAnsi="David" w:cs="David" w:hint="cs"/>
          <w:b/>
          <w:bCs/>
          <w:noProof/>
          <w:rtl/>
        </w:rPr>
        <w:t>א</w:t>
      </w:r>
      <w:r w:rsidRPr="00180256">
        <w:rPr>
          <w:rFonts w:ascii="David" w:eastAsia="Times New Roman" w:hAnsi="David" w:cs="David" w:hint="cs"/>
          <w:b/>
          <w:bCs/>
          <w:noProof/>
          <w:rtl/>
        </w:rPr>
        <w:t>כן אינו עובד, כנטען בבקשה, הוא עושה זאת בכדי להמנע מעיקולי</w:t>
      </w:r>
      <w:r w:rsidR="000B1978" w:rsidRPr="00180256">
        <w:rPr>
          <w:rFonts w:ascii="David" w:eastAsia="Times New Roman" w:hAnsi="David" w:cs="David" w:hint="cs"/>
          <w:b/>
          <w:bCs/>
          <w:noProof/>
          <w:rtl/>
        </w:rPr>
        <w:t>ם. אציין כי בבקשתו מיום 16.8.22 טען החייב כי הוא עתיד להתחיל לעבוד ושכרו הצפוי יהיה בסך של כ- 6,000 ₪ (ראה...) ואולם חרף זאת בוחר החייב שלא לעבוד.</w:t>
      </w:r>
    </w:p>
    <w:p w:rsidR="000B1978" w:rsidRPr="00180256" w:rsidRDefault="000B1978" w:rsidP="00272D94">
      <w:pPr>
        <w:pStyle w:val="ad"/>
        <w:spacing w:after="0" w:line="360" w:lineRule="auto"/>
        <w:jc w:val="both"/>
        <w:rPr>
          <w:rFonts w:ascii="David" w:eastAsia="Times New Roman" w:hAnsi="David" w:cs="David"/>
          <w:b/>
          <w:bCs/>
          <w:noProof/>
          <w:rtl/>
        </w:rPr>
      </w:pPr>
      <w:r w:rsidRPr="00180256">
        <w:rPr>
          <w:rFonts w:ascii="David" w:eastAsia="Times New Roman" w:hAnsi="David" w:cs="David" w:hint="cs"/>
          <w:b/>
          <w:bCs/>
          <w:noProof/>
          <w:rtl/>
        </w:rPr>
        <w:t>ככל שנקבל את בקשת החייב במלואה, נמצא כי מצבו הכלכלי של החייב קשה מאוד ואולם לא ברור כ</w:t>
      </w:r>
      <w:r w:rsidR="00BE0839">
        <w:rPr>
          <w:rFonts w:ascii="David" w:eastAsia="Times New Roman" w:hAnsi="David" w:cs="David" w:hint="cs"/>
          <w:b/>
          <w:bCs/>
          <w:noProof/>
          <w:rtl/>
        </w:rPr>
        <w:t>יצד יכול להחייב לכלכל את עצמו תו</w:t>
      </w:r>
      <w:r w:rsidRPr="00180256">
        <w:rPr>
          <w:rFonts w:ascii="David" w:eastAsia="Times New Roman" w:hAnsi="David" w:cs="David" w:hint="cs"/>
          <w:b/>
          <w:bCs/>
          <w:noProof/>
          <w:rtl/>
        </w:rPr>
        <w:t>ך תשלום סך כלשהו על חשבון חוב העבר שעה שאינו עובד וממצה את פוטנציאל ההשתכרות שלו. אין כל הצדקה לפריסת חוב העבר שעה שידוע מראש כי אין לחייב אפשרות לעמוד בתשלומים הנטענים (ראה..).</w:t>
      </w:r>
    </w:p>
    <w:p w:rsidR="000B1978" w:rsidRPr="00180256" w:rsidRDefault="000B1978" w:rsidP="00180256">
      <w:pPr>
        <w:pStyle w:val="ad"/>
        <w:spacing w:after="0" w:line="360" w:lineRule="auto"/>
        <w:jc w:val="both"/>
        <w:rPr>
          <w:rFonts w:ascii="David" w:eastAsia="Times New Roman" w:hAnsi="David" w:cs="David"/>
          <w:b/>
          <w:bCs/>
          <w:noProof/>
        </w:rPr>
      </w:pPr>
      <w:r w:rsidRPr="00180256">
        <w:rPr>
          <w:rFonts w:ascii="David" w:eastAsia="Times New Roman" w:hAnsi="David" w:cs="David" w:hint="cs"/>
          <w:b/>
          <w:bCs/>
          <w:noProof/>
          <w:rtl/>
        </w:rPr>
        <w:t>נוכח האמור, מקום בו לא פועל החייב למיצוי פוטנציאל ההשתכרות שלו כנדרש בהחלטות, ומשלא הוצגו מלוא האסמכתאות הנדרשות, אין להורות על פריסת החוב המבוקשת".</w:t>
      </w:r>
      <w:r w:rsidR="004C0326" w:rsidRPr="00180256">
        <w:rPr>
          <w:rFonts w:ascii="David" w:eastAsia="Times New Roman" w:hAnsi="David" w:cs="David" w:hint="cs"/>
          <w:b/>
          <w:bCs/>
          <w:noProof/>
          <w:rtl/>
        </w:rPr>
        <w:t xml:space="preserve"> </w:t>
      </w:r>
      <w:r w:rsidR="00272D94" w:rsidRPr="00BE0839">
        <w:rPr>
          <w:rFonts w:ascii="David" w:eastAsia="Times New Roman" w:hAnsi="David" w:cs="David" w:hint="cs"/>
          <w:noProof/>
          <w:rtl/>
        </w:rPr>
        <w:t>(ההדגש</w:t>
      </w:r>
      <w:r w:rsidR="00180256" w:rsidRPr="00BE0839">
        <w:rPr>
          <w:rFonts w:ascii="David" w:eastAsia="Times New Roman" w:hAnsi="David" w:cs="David" w:hint="cs"/>
          <w:noProof/>
          <w:rtl/>
        </w:rPr>
        <w:t>ה</w:t>
      </w:r>
      <w:r w:rsidR="00272D94" w:rsidRPr="00BE0839">
        <w:rPr>
          <w:rFonts w:ascii="David" w:eastAsia="Times New Roman" w:hAnsi="David" w:cs="David" w:hint="cs"/>
          <w:noProof/>
          <w:rtl/>
        </w:rPr>
        <w:t xml:space="preserve"> במקור).</w:t>
      </w:r>
    </w:p>
    <w:p w:rsidR="003C114E" w:rsidRDefault="00972C42" w:rsidP="003C114E">
      <w:pPr>
        <w:numPr>
          <w:ilvl w:val="0"/>
          <w:numId w:val="1"/>
        </w:numPr>
        <w:spacing w:line="360" w:lineRule="auto"/>
        <w:jc w:val="both"/>
        <w:rPr>
          <w:rFonts w:ascii="David" w:hAnsi="David"/>
          <w:b/>
          <w:bCs/>
          <w:u w:val="single"/>
        </w:rPr>
      </w:pPr>
      <w:r>
        <w:rPr>
          <w:rFonts w:ascii="David" w:hAnsi="David" w:hint="cs"/>
          <w:rtl/>
        </w:rPr>
        <w:t>אתייחס לכל אחת</w:t>
      </w:r>
      <w:r w:rsidR="00331735">
        <w:rPr>
          <w:rFonts w:ascii="David" w:hAnsi="David" w:hint="cs"/>
          <w:rtl/>
        </w:rPr>
        <w:t xml:space="preserve"> מההחלטות בנפרד.</w:t>
      </w:r>
    </w:p>
    <w:p w:rsidR="00ED06DE" w:rsidRDefault="00ED06DE" w:rsidP="00ED06DE">
      <w:pPr>
        <w:spacing w:line="360" w:lineRule="auto"/>
        <w:ind w:left="218"/>
        <w:jc w:val="both"/>
        <w:rPr>
          <w:rFonts w:ascii="David" w:hAnsi="David"/>
          <w:b/>
          <w:bCs/>
          <w:u w:val="single"/>
        </w:rPr>
      </w:pPr>
    </w:p>
    <w:p w:rsidR="00331735" w:rsidRPr="00EB79FB" w:rsidRDefault="00ED06DE" w:rsidP="00ED06DE">
      <w:pPr>
        <w:pStyle w:val="ad"/>
        <w:numPr>
          <w:ilvl w:val="0"/>
          <w:numId w:val="11"/>
        </w:numPr>
        <w:spacing w:line="360" w:lineRule="auto"/>
        <w:jc w:val="both"/>
        <w:rPr>
          <w:rFonts w:ascii="David" w:hAnsi="David"/>
          <w:b/>
          <w:bCs/>
          <w:u w:val="single"/>
        </w:rPr>
      </w:pPr>
      <w:r>
        <w:rPr>
          <w:rFonts w:ascii="David" w:hAnsi="David" w:hint="cs"/>
          <w:b/>
          <w:bCs/>
          <w:u w:val="single"/>
          <w:rtl/>
        </w:rPr>
        <w:t>החלטה מיום 7.6.23- הגדלת החוב בתיק לתקופה העולה על שנתיים</w:t>
      </w:r>
    </w:p>
    <w:p w:rsidR="001B5FB5" w:rsidRPr="001B5FB5" w:rsidRDefault="008706F1" w:rsidP="001B5FB5">
      <w:pPr>
        <w:numPr>
          <w:ilvl w:val="0"/>
          <w:numId w:val="1"/>
        </w:numPr>
        <w:spacing w:line="360" w:lineRule="auto"/>
        <w:jc w:val="both"/>
        <w:rPr>
          <w:rFonts w:ascii="David" w:hAnsi="David"/>
          <w:b/>
          <w:bCs/>
          <w:u w:val="single"/>
        </w:rPr>
      </w:pPr>
      <w:r>
        <w:rPr>
          <w:rFonts w:ascii="David" w:hAnsi="David" w:hint="cs"/>
          <w:b/>
          <w:bCs/>
          <w:rtl/>
        </w:rPr>
        <w:t xml:space="preserve">לטענת </w:t>
      </w:r>
      <w:r w:rsidR="001B5FB5">
        <w:rPr>
          <w:rFonts w:ascii="David" w:hAnsi="David" w:hint="cs"/>
          <w:b/>
          <w:bCs/>
          <w:rtl/>
        </w:rPr>
        <w:t>המערער-</w:t>
      </w:r>
    </w:p>
    <w:p w:rsidR="005C75AA" w:rsidRPr="00231787" w:rsidRDefault="00FE5937" w:rsidP="00FF10E2">
      <w:pPr>
        <w:pStyle w:val="ad"/>
        <w:numPr>
          <w:ilvl w:val="0"/>
          <w:numId w:val="4"/>
        </w:numPr>
        <w:spacing w:line="360" w:lineRule="auto"/>
        <w:jc w:val="both"/>
        <w:rPr>
          <w:rFonts w:ascii="David" w:hAnsi="David" w:cs="David"/>
          <w:sz w:val="24"/>
          <w:szCs w:val="24"/>
        </w:rPr>
      </w:pPr>
      <w:r>
        <w:rPr>
          <w:rFonts w:ascii="David" w:hAnsi="David" w:cs="David" w:hint="cs"/>
          <w:sz w:val="24"/>
          <w:szCs w:val="24"/>
          <w:rtl/>
        </w:rPr>
        <w:t xml:space="preserve">בכתב הערעור </w:t>
      </w:r>
      <w:r w:rsidR="00FF10E2">
        <w:rPr>
          <w:rFonts w:ascii="David" w:hAnsi="David" w:cs="David" w:hint="cs"/>
          <w:sz w:val="24"/>
          <w:szCs w:val="24"/>
          <w:rtl/>
        </w:rPr>
        <w:t>נ</w:t>
      </w:r>
      <w:r>
        <w:rPr>
          <w:rFonts w:ascii="David" w:hAnsi="David" w:cs="David" w:hint="cs"/>
          <w:sz w:val="24"/>
          <w:szCs w:val="24"/>
          <w:rtl/>
        </w:rPr>
        <w:t xml:space="preserve">טען כי </w:t>
      </w:r>
      <w:r w:rsidR="007C74B6">
        <w:rPr>
          <w:rFonts w:ascii="David" w:hAnsi="David" w:cs="David" w:hint="cs"/>
          <w:sz w:val="24"/>
          <w:szCs w:val="24"/>
          <w:rtl/>
        </w:rPr>
        <w:t xml:space="preserve">מקום בו המשיבה לא נקטה בהליכי גבייה במשך חמש שנים ממועד גיוס הבן, יש להחיל את סעיף 11 (ב) לחוק לתיקון דיני המשפחה מזונות, </w:t>
      </w:r>
      <w:r w:rsidR="00BE0839">
        <w:rPr>
          <w:rFonts w:ascii="David" w:hAnsi="David" w:cs="David" w:hint="cs"/>
          <w:sz w:val="24"/>
          <w:szCs w:val="24"/>
          <w:rtl/>
        </w:rPr>
        <w:t>ה</w:t>
      </w:r>
      <w:r w:rsidR="007C74B6">
        <w:rPr>
          <w:rFonts w:ascii="David" w:hAnsi="David" w:cs="David" w:hint="cs"/>
          <w:sz w:val="24"/>
          <w:szCs w:val="24"/>
          <w:rtl/>
        </w:rPr>
        <w:t xml:space="preserve">תשי"ט-1959 </w:t>
      </w:r>
      <w:r w:rsidR="00231787">
        <w:rPr>
          <w:rFonts w:ascii="David" w:hAnsi="David" w:cs="David" w:hint="cs"/>
          <w:sz w:val="24"/>
          <w:szCs w:val="24"/>
          <w:rtl/>
        </w:rPr>
        <w:t>(להלן: "</w:t>
      </w:r>
      <w:r w:rsidR="00231787">
        <w:rPr>
          <w:rFonts w:ascii="David" w:hAnsi="David" w:cs="David" w:hint="cs"/>
          <w:b/>
          <w:bCs/>
          <w:sz w:val="24"/>
          <w:szCs w:val="24"/>
          <w:rtl/>
        </w:rPr>
        <w:t xml:space="preserve">חוק </w:t>
      </w:r>
      <w:r w:rsidR="00231787" w:rsidRPr="00231787">
        <w:rPr>
          <w:rFonts w:ascii="David" w:hAnsi="David" w:cs="David" w:hint="cs"/>
          <w:b/>
          <w:bCs/>
          <w:sz w:val="24"/>
          <w:szCs w:val="24"/>
          <w:rtl/>
        </w:rPr>
        <w:t>המזונות</w:t>
      </w:r>
      <w:r w:rsidR="00231787">
        <w:rPr>
          <w:rFonts w:ascii="David" w:hAnsi="David" w:cs="David" w:hint="cs"/>
          <w:sz w:val="24"/>
          <w:szCs w:val="24"/>
          <w:rtl/>
        </w:rPr>
        <w:t xml:space="preserve">") </w:t>
      </w:r>
      <w:r w:rsidR="007C74B6" w:rsidRPr="00231787">
        <w:rPr>
          <w:rFonts w:ascii="David" w:hAnsi="David" w:cs="David" w:hint="cs"/>
          <w:sz w:val="24"/>
          <w:szCs w:val="24"/>
          <w:rtl/>
        </w:rPr>
        <w:t>ואין</w:t>
      </w:r>
      <w:r w:rsidR="007C74B6">
        <w:rPr>
          <w:rFonts w:ascii="David" w:hAnsi="David" w:cs="David" w:hint="cs"/>
          <w:sz w:val="24"/>
          <w:szCs w:val="24"/>
          <w:rtl/>
        </w:rPr>
        <w:t xml:space="preserve"> היא רשאית לגבות </w:t>
      </w:r>
      <w:r w:rsidR="00231787">
        <w:rPr>
          <w:rFonts w:ascii="David" w:hAnsi="David" w:cs="David" w:hint="cs"/>
          <w:sz w:val="24"/>
          <w:szCs w:val="24"/>
          <w:rtl/>
        </w:rPr>
        <w:t xml:space="preserve">החוב </w:t>
      </w:r>
      <w:r w:rsidR="007C74B6">
        <w:rPr>
          <w:rFonts w:ascii="David" w:hAnsi="David" w:cs="David" w:hint="cs"/>
          <w:sz w:val="24"/>
          <w:szCs w:val="24"/>
          <w:rtl/>
        </w:rPr>
        <w:t>אלא ברשות בית המשפט.</w:t>
      </w:r>
      <w:r w:rsidR="00231787">
        <w:rPr>
          <w:rFonts w:ascii="David" w:hAnsi="David" w:cs="David" w:hint="cs"/>
          <w:sz w:val="24"/>
          <w:szCs w:val="24"/>
          <w:rtl/>
        </w:rPr>
        <w:t xml:space="preserve"> </w:t>
      </w:r>
      <w:r w:rsidR="00FF10E2">
        <w:rPr>
          <w:rFonts w:ascii="David" w:hAnsi="David" w:cs="David" w:hint="cs"/>
          <w:sz w:val="24"/>
          <w:szCs w:val="24"/>
          <w:rtl/>
        </w:rPr>
        <w:t xml:space="preserve">נטען כי </w:t>
      </w:r>
      <w:r w:rsidR="00231787" w:rsidRPr="00231787">
        <w:rPr>
          <w:rFonts w:ascii="David" w:hAnsi="David" w:cs="David" w:hint="cs"/>
          <w:sz w:val="24"/>
          <w:szCs w:val="24"/>
          <w:rtl/>
        </w:rPr>
        <w:t>טעה</w:t>
      </w:r>
      <w:r w:rsidR="005C75AA" w:rsidRPr="00231787">
        <w:rPr>
          <w:rFonts w:ascii="David" w:hAnsi="David" w:cs="David" w:hint="cs"/>
          <w:sz w:val="24"/>
          <w:szCs w:val="24"/>
          <w:rtl/>
        </w:rPr>
        <w:t xml:space="preserve"> כב' הרשם בהחלטתו </w:t>
      </w:r>
      <w:r w:rsidR="00231787" w:rsidRPr="00231787">
        <w:rPr>
          <w:rFonts w:ascii="David" w:hAnsi="David" w:cs="David" w:hint="cs"/>
          <w:sz w:val="24"/>
          <w:szCs w:val="24"/>
          <w:rtl/>
        </w:rPr>
        <w:t xml:space="preserve">עת קבע </w:t>
      </w:r>
      <w:r w:rsidR="005C75AA" w:rsidRPr="00231787">
        <w:rPr>
          <w:rFonts w:ascii="David" w:hAnsi="David" w:cs="David" w:hint="cs"/>
          <w:sz w:val="24"/>
          <w:szCs w:val="24"/>
          <w:rtl/>
        </w:rPr>
        <w:t>כי תשלומי</w:t>
      </w:r>
      <w:r w:rsidR="007C74B6" w:rsidRPr="00231787">
        <w:rPr>
          <w:rFonts w:ascii="David" w:hAnsi="David" w:cs="David" w:hint="cs"/>
          <w:sz w:val="24"/>
          <w:szCs w:val="24"/>
          <w:rtl/>
        </w:rPr>
        <w:t xml:space="preserve"> המזונות מתייחסים לתקופה שלאחר מועד פתיחת התיק </w:t>
      </w:r>
      <w:r w:rsidR="007C74B6" w:rsidRPr="00231787">
        <w:rPr>
          <w:rFonts w:ascii="David" w:hAnsi="David" w:cs="David" w:hint="cs"/>
          <w:sz w:val="24"/>
          <w:szCs w:val="24"/>
          <w:rtl/>
        </w:rPr>
        <w:lastRenderedPageBreak/>
        <w:t xml:space="preserve">בשנת 2018 </w:t>
      </w:r>
      <w:r w:rsidR="00FF10E2">
        <w:rPr>
          <w:rFonts w:ascii="David" w:hAnsi="David" w:cs="David" w:hint="cs"/>
          <w:sz w:val="24"/>
          <w:szCs w:val="24"/>
          <w:rtl/>
        </w:rPr>
        <w:t xml:space="preserve">שכן - </w:t>
      </w:r>
      <w:r w:rsidR="005C75AA" w:rsidRPr="00231787">
        <w:rPr>
          <w:rFonts w:ascii="David" w:hAnsi="David" w:cs="David" w:hint="cs"/>
          <w:sz w:val="24"/>
          <w:szCs w:val="24"/>
          <w:rtl/>
        </w:rPr>
        <w:t>אין רלוונטיות למועד פתיחת התיק אלא למועד ה"גבייה"</w:t>
      </w:r>
      <w:r w:rsidR="00FF10E2">
        <w:rPr>
          <w:rFonts w:ascii="David" w:hAnsi="David" w:cs="David" w:hint="cs"/>
          <w:sz w:val="24"/>
          <w:szCs w:val="24"/>
          <w:rtl/>
        </w:rPr>
        <w:t xml:space="preserve">. </w:t>
      </w:r>
      <w:r w:rsidR="007C74B6" w:rsidRPr="00231787">
        <w:rPr>
          <w:rFonts w:ascii="David" w:hAnsi="David" w:cs="David" w:hint="cs"/>
          <w:sz w:val="24"/>
          <w:szCs w:val="24"/>
          <w:rtl/>
        </w:rPr>
        <w:t xml:space="preserve">בקשה להגדלת החוב </w:t>
      </w:r>
      <w:r w:rsidR="005C75AA" w:rsidRPr="00231787">
        <w:rPr>
          <w:rFonts w:ascii="David" w:hAnsi="David" w:cs="David" w:hint="cs"/>
          <w:sz w:val="24"/>
          <w:szCs w:val="24"/>
          <w:rtl/>
        </w:rPr>
        <w:t>אשר מוגשת בשיהוי קיצוני הינה מנוגדת לחוק ויש לקבל את אישור בית המשפט כדי לאשרה.</w:t>
      </w:r>
    </w:p>
    <w:p w:rsidR="005C75AA" w:rsidRPr="00FF10E2" w:rsidRDefault="00FE5937" w:rsidP="00A90A1D">
      <w:pPr>
        <w:pStyle w:val="ad"/>
        <w:numPr>
          <w:ilvl w:val="0"/>
          <w:numId w:val="4"/>
        </w:numPr>
        <w:spacing w:line="360" w:lineRule="auto"/>
        <w:jc w:val="both"/>
        <w:rPr>
          <w:rFonts w:ascii="David" w:hAnsi="David"/>
          <w:sz w:val="24"/>
          <w:szCs w:val="24"/>
          <w:rtl/>
        </w:rPr>
      </w:pPr>
      <w:r w:rsidRPr="00CE693C">
        <w:rPr>
          <w:rFonts w:ascii="David" w:hAnsi="David" w:cs="David" w:hint="cs"/>
          <w:sz w:val="24"/>
          <w:szCs w:val="24"/>
          <w:rtl/>
        </w:rPr>
        <w:t xml:space="preserve">בסיכומיו הרחיב </w:t>
      </w:r>
      <w:r w:rsidR="00231787">
        <w:rPr>
          <w:rFonts w:ascii="David" w:hAnsi="David" w:cs="David" w:hint="cs"/>
          <w:sz w:val="24"/>
          <w:szCs w:val="24"/>
          <w:rtl/>
        </w:rPr>
        <w:t xml:space="preserve">המערער </w:t>
      </w:r>
      <w:r w:rsidRPr="00CE693C">
        <w:rPr>
          <w:rFonts w:ascii="David" w:hAnsi="David" w:cs="David" w:hint="cs"/>
          <w:sz w:val="24"/>
          <w:szCs w:val="24"/>
          <w:rtl/>
        </w:rPr>
        <w:t xml:space="preserve">וטען כי </w:t>
      </w:r>
      <w:r w:rsidR="00CE693C" w:rsidRPr="00FF10E2">
        <w:rPr>
          <w:rFonts w:ascii="David" w:hAnsi="David" w:cs="David"/>
          <w:sz w:val="24"/>
          <w:szCs w:val="24"/>
          <w:rtl/>
        </w:rPr>
        <w:t>תשלום מזונות בעת תקופת שירותו הצבאי כאשר הבן בגיר, הינו תשלום נפרד ושונה ממזונות קטין</w:t>
      </w:r>
      <w:r w:rsidR="00FF10E2" w:rsidRPr="00FF10E2">
        <w:rPr>
          <w:rFonts w:ascii="David" w:hAnsi="David" w:cs="David" w:hint="cs"/>
          <w:sz w:val="24"/>
          <w:szCs w:val="24"/>
          <w:rtl/>
        </w:rPr>
        <w:t xml:space="preserve"> </w:t>
      </w:r>
      <w:r w:rsidR="00A90A1D">
        <w:rPr>
          <w:rFonts w:ascii="David" w:hAnsi="David" w:cs="David" w:hint="cs"/>
          <w:sz w:val="24"/>
          <w:szCs w:val="24"/>
          <w:rtl/>
        </w:rPr>
        <w:t>שכן</w:t>
      </w:r>
      <w:r w:rsidR="00FF10E2" w:rsidRPr="00FF10E2">
        <w:rPr>
          <w:rFonts w:ascii="David" w:hAnsi="David" w:cs="David" w:hint="cs"/>
          <w:sz w:val="24"/>
          <w:szCs w:val="24"/>
          <w:rtl/>
        </w:rPr>
        <w:t xml:space="preserve"> </w:t>
      </w:r>
      <w:r w:rsidR="00CE693C" w:rsidRPr="00FF10E2">
        <w:rPr>
          <w:rFonts w:ascii="David" w:hAnsi="David" w:cs="David"/>
          <w:sz w:val="24"/>
          <w:szCs w:val="24"/>
          <w:rtl/>
        </w:rPr>
        <w:t>תשלום מזונות בגיר בתקופת השירות הצבאי הינו תשלום מותנה הניתן לסתירה לנוכח "טענת הנזקקות". לטענתו, נשללה ממנו הזכות לסתור את חזקת הנזקקות של הבן, טענה אשר יש לטעון בפני בית המשפט לענייני משפחה ולא בפני רשם ההוצאה לפועל הנעדר סמכות לדון בכך</w:t>
      </w:r>
      <w:r w:rsidR="00CE693C" w:rsidRPr="00FF10E2">
        <w:rPr>
          <w:rFonts w:ascii="David" w:hAnsi="David" w:hint="cs"/>
          <w:sz w:val="24"/>
          <w:szCs w:val="24"/>
          <w:rtl/>
        </w:rPr>
        <w:t>.</w:t>
      </w:r>
    </w:p>
    <w:p w:rsidR="00231787" w:rsidRPr="00231787" w:rsidRDefault="00231787" w:rsidP="00135ED3">
      <w:pPr>
        <w:numPr>
          <w:ilvl w:val="0"/>
          <w:numId w:val="1"/>
        </w:numPr>
        <w:spacing w:line="360" w:lineRule="auto"/>
        <w:ind w:left="283"/>
        <w:jc w:val="both"/>
        <w:rPr>
          <w:rFonts w:ascii="David" w:hAnsi="David"/>
        </w:rPr>
      </w:pPr>
      <w:r>
        <w:rPr>
          <w:rFonts w:ascii="David" w:hAnsi="David" w:hint="cs"/>
          <w:b/>
          <w:bCs/>
          <w:rtl/>
        </w:rPr>
        <w:t xml:space="preserve">לטענת המשיבה- </w:t>
      </w:r>
    </w:p>
    <w:p w:rsidR="00231787" w:rsidRDefault="00231787" w:rsidP="000A60B5">
      <w:pPr>
        <w:pStyle w:val="ad"/>
        <w:numPr>
          <w:ilvl w:val="0"/>
          <w:numId w:val="4"/>
        </w:numPr>
        <w:spacing w:line="360" w:lineRule="auto"/>
        <w:jc w:val="both"/>
        <w:rPr>
          <w:rFonts w:ascii="David" w:hAnsi="David" w:cs="David"/>
          <w:sz w:val="24"/>
          <w:szCs w:val="24"/>
        </w:rPr>
      </w:pPr>
      <w:r w:rsidRPr="00231787">
        <w:rPr>
          <w:rFonts w:ascii="David" w:hAnsi="David" w:cs="David"/>
          <w:sz w:val="24"/>
          <w:szCs w:val="24"/>
          <w:rtl/>
        </w:rPr>
        <w:t xml:space="preserve">החלטות כב' </w:t>
      </w:r>
      <w:r w:rsidR="00D55BB8">
        <w:rPr>
          <w:rFonts w:ascii="David" w:hAnsi="David" w:cs="David" w:hint="cs"/>
          <w:sz w:val="24"/>
          <w:szCs w:val="24"/>
          <w:rtl/>
        </w:rPr>
        <w:t>ר</w:t>
      </w:r>
      <w:r w:rsidRPr="00231787">
        <w:rPr>
          <w:rFonts w:ascii="David" w:hAnsi="David" w:cs="David"/>
          <w:sz w:val="24"/>
          <w:szCs w:val="24"/>
          <w:rtl/>
        </w:rPr>
        <w:t>שם ההוצאה לפועל מבוססות ומנומקות והערעור אינו מעלה הצדקה להתערבות בהן.</w:t>
      </w:r>
    </w:p>
    <w:p w:rsidR="00231787" w:rsidRDefault="00231787" w:rsidP="00231787">
      <w:pPr>
        <w:pStyle w:val="ad"/>
        <w:numPr>
          <w:ilvl w:val="0"/>
          <w:numId w:val="4"/>
        </w:numPr>
        <w:spacing w:line="360" w:lineRule="auto"/>
        <w:jc w:val="both"/>
        <w:rPr>
          <w:rFonts w:ascii="David" w:hAnsi="David" w:cs="David"/>
          <w:sz w:val="24"/>
          <w:szCs w:val="24"/>
        </w:rPr>
      </w:pPr>
      <w:r>
        <w:rPr>
          <w:rFonts w:ascii="David" w:hAnsi="David" w:cs="David"/>
          <w:sz w:val="24"/>
          <w:szCs w:val="24"/>
          <w:rtl/>
        </w:rPr>
        <w:t>זכויות המשיבה</w:t>
      </w:r>
      <w:r>
        <w:rPr>
          <w:rFonts w:ascii="David" w:hAnsi="David" w:cs="David" w:hint="cs"/>
          <w:sz w:val="24"/>
          <w:szCs w:val="24"/>
          <w:rtl/>
        </w:rPr>
        <w:t xml:space="preserve"> למזונות </w:t>
      </w:r>
      <w:r w:rsidRPr="00231787">
        <w:rPr>
          <w:rFonts w:ascii="David" w:hAnsi="David" w:cs="David"/>
          <w:sz w:val="24"/>
          <w:szCs w:val="24"/>
          <w:rtl/>
        </w:rPr>
        <w:t>נקבעו בפסק דין חלוט מיום 18.09.17 ועל כן יש לדחות הערעור על הסף.</w:t>
      </w:r>
      <w:r>
        <w:rPr>
          <w:rFonts w:ascii="David" w:hAnsi="David" w:cs="David" w:hint="cs"/>
          <w:sz w:val="24"/>
          <w:szCs w:val="24"/>
          <w:rtl/>
        </w:rPr>
        <w:t xml:space="preserve"> </w:t>
      </w:r>
      <w:r w:rsidRPr="00231787">
        <w:rPr>
          <w:rFonts w:ascii="David" w:hAnsi="David" w:cs="David"/>
          <w:sz w:val="24"/>
          <w:szCs w:val="24"/>
          <w:rtl/>
        </w:rPr>
        <w:t>המערער נמנע מלקיים את פסק הדין, לא שילם</w:t>
      </w:r>
      <w:r w:rsidR="00D55BB8">
        <w:rPr>
          <w:rFonts w:ascii="David" w:hAnsi="David" w:cs="David" w:hint="cs"/>
          <w:sz w:val="24"/>
          <w:szCs w:val="24"/>
          <w:rtl/>
        </w:rPr>
        <w:t xml:space="preserve"> מעולם</w:t>
      </w:r>
      <w:r w:rsidRPr="00231787">
        <w:rPr>
          <w:rFonts w:ascii="David" w:hAnsi="David" w:cs="David"/>
          <w:sz w:val="24"/>
          <w:szCs w:val="24"/>
          <w:rtl/>
        </w:rPr>
        <w:t xml:space="preserve"> את דמי המזונות ועל כן בחודש 06/18 נפתח תיק ההוצאה לפועל נגדו.</w:t>
      </w:r>
      <w:r w:rsidR="00ED1301">
        <w:rPr>
          <w:rFonts w:ascii="David" w:hAnsi="David" w:cs="David" w:hint="cs"/>
          <w:sz w:val="24"/>
          <w:szCs w:val="24"/>
          <w:rtl/>
        </w:rPr>
        <w:t xml:space="preserve"> גם חוות הדעת שהגישה המשיבה לא </w:t>
      </w:r>
      <w:r w:rsidR="00EB79FB">
        <w:rPr>
          <w:rFonts w:ascii="David" w:hAnsi="David" w:cs="David" w:hint="cs"/>
          <w:sz w:val="24"/>
          <w:szCs w:val="24"/>
          <w:rtl/>
        </w:rPr>
        <w:t>נ</w:t>
      </w:r>
      <w:r w:rsidR="00ED1301">
        <w:rPr>
          <w:rFonts w:ascii="David" w:hAnsi="David" w:cs="David" w:hint="cs"/>
          <w:sz w:val="24"/>
          <w:szCs w:val="24"/>
          <w:rtl/>
        </w:rPr>
        <w:t>סתרה על ידי המערער.</w:t>
      </w:r>
    </w:p>
    <w:p w:rsidR="00231787" w:rsidRDefault="00231787" w:rsidP="00ED1301">
      <w:pPr>
        <w:pStyle w:val="ad"/>
        <w:numPr>
          <w:ilvl w:val="0"/>
          <w:numId w:val="4"/>
        </w:numPr>
        <w:spacing w:line="360" w:lineRule="auto"/>
        <w:jc w:val="both"/>
        <w:rPr>
          <w:rFonts w:ascii="David" w:hAnsi="David" w:cs="David"/>
          <w:sz w:val="24"/>
          <w:szCs w:val="24"/>
        </w:rPr>
      </w:pPr>
      <w:r w:rsidRPr="00231787">
        <w:rPr>
          <w:rFonts w:ascii="David" w:hAnsi="David" w:cs="David"/>
          <w:sz w:val="24"/>
          <w:szCs w:val="24"/>
          <w:rtl/>
        </w:rPr>
        <w:t>המשיבה</w:t>
      </w:r>
      <w:r w:rsidR="000A60B5">
        <w:rPr>
          <w:rFonts w:ascii="David" w:hAnsi="David" w:cs="David" w:hint="cs"/>
          <w:sz w:val="24"/>
          <w:szCs w:val="24"/>
          <w:rtl/>
        </w:rPr>
        <w:t xml:space="preserve">, שהנה אם חד הורית המגדלת לבד את שלושת ילדיה, לא השתהתה ולא ויתרה על זכויותיה לגבות מזונות הבן בעת שירותו הצבאי שעה שהנ"ל התגורר בדירתה. המשיבה </w:t>
      </w:r>
      <w:r w:rsidR="009C1F9E">
        <w:rPr>
          <w:rFonts w:ascii="David" w:hAnsi="David" w:cs="David" w:hint="cs"/>
          <w:sz w:val="24"/>
          <w:szCs w:val="24"/>
          <w:rtl/>
        </w:rPr>
        <w:t xml:space="preserve">אף </w:t>
      </w:r>
      <w:r w:rsidRPr="00231787">
        <w:rPr>
          <w:rFonts w:ascii="David" w:hAnsi="David" w:cs="David"/>
          <w:sz w:val="24"/>
          <w:szCs w:val="24"/>
          <w:rtl/>
        </w:rPr>
        <w:t>חששה כי אם תנקוט צעדים כנגד המערער, יפגעו מאמציה לחדש את הקשר בינו לב</w:t>
      </w:r>
      <w:r w:rsidR="000A60B5">
        <w:rPr>
          <w:rFonts w:ascii="David" w:hAnsi="David" w:cs="David" w:hint="cs"/>
          <w:sz w:val="24"/>
          <w:szCs w:val="24"/>
          <w:rtl/>
        </w:rPr>
        <w:t>י</w:t>
      </w:r>
      <w:r w:rsidRPr="00231787">
        <w:rPr>
          <w:rFonts w:ascii="David" w:hAnsi="David" w:cs="David"/>
          <w:sz w:val="24"/>
          <w:szCs w:val="24"/>
          <w:rtl/>
        </w:rPr>
        <w:t>ן הבן</w:t>
      </w:r>
      <w:r w:rsidR="000A60B5">
        <w:rPr>
          <w:rFonts w:ascii="David" w:hAnsi="David" w:cs="David" w:hint="cs"/>
          <w:sz w:val="24"/>
          <w:szCs w:val="24"/>
          <w:rtl/>
        </w:rPr>
        <w:t xml:space="preserve"> (הסובל מבעיות רגשיות ומשתוקק לדמות אב)</w:t>
      </w:r>
      <w:r w:rsidRPr="00231787">
        <w:rPr>
          <w:rFonts w:ascii="David" w:hAnsi="David" w:cs="David"/>
          <w:sz w:val="24"/>
          <w:szCs w:val="24"/>
          <w:rtl/>
        </w:rPr>
        <w:t>.</w:t>
      </w:r>
      <w:r w:rsidR="00ED1301">
        <w:rPr>
          <w:rFonts w:ascii="David" w:hAnsi="David" w:cs="David" w:hint="cs"/>
          <w:sz w:val="24"/>
          <w:szCs w:val="24"/>
          <w:rtl/>
        </w:rPr>
        <w:t xml:space="preserve"> צורפה תכתובת מסרונים </w:t>
      </w:r>
      <w:r w:rsidR="00ED1301" w:rsidRPr="00022361">
        <w:rPr>
          <w:rFonts w:ascii="David" w:hAnsi="David" w:cs="David" w:hint="cs"/>
          <w:sz w:val="24"/>
          <w:szCs w:val="24"/>
          <w:rtl/>
        </w:rPr>
        <w:t>משנת 2023 בין</w:t>
      </w:r>
      <w:r w:rsidR="00ED1301">
        <w:rPr>
          <w:rFonts w:ascii="David" w:hAnsi="David" w:cs="David" w:hint="cs"/>
          <w:sz w:val="24"/>
          <w:szCs w:val="24"/>
          <w:rtl/>
        </w:rPr>
        <w:t xml:space="preserve"> הצדדים. </w:t>
      </w:r>
    </w:p>
    <w:p w:rsidR="000A60B5" w:rsidRDefault="000A60B5" w:rsidP="000A60B5">
      <w:pPr>
        <w:pStyle w:val="ad"/>
        <w:numPr>
          <w:ilvl w:val="0"/>
          <w:numId w:val="4"/>
        </w:numPr>
        <w:spacing w:line="360" w:lineRule="auto"/>
        <w:jc w:val="both"/>
        <w:rPr>
          <w:rFonts w:ascii="David" w:hAnsi="David" w:cs="David"/>
          <w:sz w:val="24"/>
          <w:szCs w:val="24"/>
        </w:rPr>
      </w:pPr>
      <w:r>
        <w:rPr>
          <w:rFonts w:ascii="David" w:hAnsi="David" w:cs="David" w:hint="cs"/>
          <w:sz w:val="24"/>
          <w:szCs w:val="24"/>
          <w:rtl/>
        </w:rPr>
        <w:t xml:space="preserve">המשיבה פעלה בשקידה לגביית המזונות ולפיכך אין צורך בקבלת אישור בית המשפט לגביית החוב שכן אין הדברים באים בגדרו של סעיף 11(ב) לחוק המזונות. </w:t>
      </w:r>
    </w:p>
    <w:p w:rsidR="007242B7" w:rsidRDefault="0042292F" w:rsidP="007242B7">
      <w:pPr>
        <w:numPr>
          <w:ilvl w:val="0"/>
          <w:numId w:val="1"/>
        </w:numPr>
        <w:spacing w:line="360" w:lineRule="auto"/>
        <w:ind w:left="283"/>
        <w:jc w:val="both"/>
        <w:rPr>
          <w:rFonts w:ascii="David" w:hAnsi="David"/>
          <w:b/>
          <w:bCs/>
        </w:rPr>
      </w:pPr>
      <w:r>
        <w:rPr>
          <w:rFonts w:ascii="David" w:hAnsi="David" w:hint="cs"/>
          <w:b/>
          <w:bCs/>
          <w:rtl/>
        </w:rPr>
        <w:t>דיון:</w:t>
      </w:r>
    </w:p>
    <w:p w:rsidR="0051626F" w:rsidRPr="007242B7" w:rsidRDefault="00022361" w:rsidP="00F25E50">
      <w:pPr>
        <w:spacing w:line="360" w:lineRule="auto"/>
        <w:ind w:left="283"/>
        <w:jc w:val="both"/>
        <w:rPr>
          <w:rFonts w:ascii="David" w:hAnsi="David"/>
          <w:b/>
          <w:bCs/>
          <w:rtl/>
        </w:rPr>
      </w:pPr>
      <w:r>
        <w:rPr>
          <w:rFonts w:ascii="David" w:hAnsi="David" w:hint="cs"/>
          <w:rtl/>
        </w:rPr>
        <w:t>מצאתי כי לא נפלה כל שגגה בהחלטת כב' הרשם להגדיל החוב ואין כל מקום להתערב בה</w:t>
      </w:r>
      <w:r w:rsidR="00A03CA4" w:rsidRPr="007242B7">
        <w:rPr>
          <w:rFonts w:ascii="David" w:hAnsi="David" w:hint="cs"/>
          <w:rtl/>
        </w:rPr>
        <w:t xml:space="preserve">. אנמק טעמיי. </w:t>
      </w:r>
    </w:p>
    <w:p w:rsidR="0051626F" w:rsidRPr="0051626F" w:rsidRDefault="0051626F" w:rsidP="00442C8E">
      <w:pPr>
        <w:pStyle w:val="ad"/>
        <w:numPr>
          <w:ilvl w:val="1"/>
          <w:numId w:val="6"/>
        </w:numPr>
        <w:autoSpaceDE w:val="0"/>
        <w:autoSpaceDN w:val="0"/>
        <w:spacing w:line="360" w:lineRule="auto"/>
        <w:jc w:val="both"/>
        <w:rPr>
          <w:rFonts w:ascii="David" w:hAnsi="David" w:cs="David"/>
          <w:sz w:val="24"/>
          <w:szCs w:val="24"/>
        </w:rPr>
      </w:pPr>
      <w:r w:rsidRPr="0051626F">
        <w:rPr>
          <w:rFonts w:ascii="David" w:hAnsi="David" w:cs="David"/>
          <w:sz w:val="24"/>
          <w:szCs w:val="24"/>
          <w:rtl/>
        </w:rPr>
        <w:t xml:space="preserve">סעיף 11 (ב) לחוק </w:t>
      </w:r>
      <w:r w:rsidRPr="0051626F">
        <w:rPr>
          <w:rFonts w:ascii="David" w:hAnsi="David" w:cs="David" w:hint="cs"/>
          <w:sz w:val="24"/>
          <w:szCs w:val="24"/>
          <w:rtl/>
        </w:rPr>
        <w:t xml:space="preserve">המזונות </w:t>
      </w:r>
      <w:r w:rsidRPr="0051626F">
        <w:rPr>
          <w:rFonts w:ascii="David" w:hAnsi="David" w:cs="David"/>
          <w:sz w:val="24"/>
          <w:szCs w:val="24"/>
          <w:rtl/>
        </w:rPr>
        <w:t>קובע כדלקמן:</w:t>
      </w:r>
    </w:p>
    <w:p w:rsidR="0051626F" w:rsidRPr="00EB79FB" w:rsidRDefault="0051626F" w:rsidP="00EB79FB">
      <w:pPr>
        <w:autoSpaceDE w:val="0"/>
        <w:autoSpaceDN w:val="0"/>
        <w:spacing w:line="360" w:lineRule="auto"/>
        <w:ind w:left="1440"/>
        <w:contextualSpacing/>
        <w:jc w:val="both"/>
        <w:rPr>
          <w:rFonts w:ascii="David" w:hAnsi="David"/>
          <w:b/>
          <w:bCs/>
          <w:sz w:val="22"/>
          <w:szCs w:val="22"/>
        </w:rPr>
      </w:pPr>
      <w:r w:rsidRPr="00EB79FB">
        <w:rPr>
          <w:rFonts w:ascii="David" w:hAnsi="David"/>
          <w:b/>
          <w:bCs/>
          <w:sz w:val="22"/>
          <w:szCs w:val="22"/>
          <w:rtl/>
        </w:rPr>
        <w:t xml:space="preserve">"מזונות שלא התחילו לפעול לגבייתם תוך שנתיים לאחר התקופה שבעדה הם נפסקו, אין לגבותם אלא ברשות בית המשפט". </w:t>
      </w:r>
    </w:p>
    <w:p w:rsidR="00ED06DE" w:rsidRPr="00ED06DE" w:rsidRDefault="0051626F" w:rsidP="001E03B1">
      <w:pPr>
        <w:pStyle w:val="ad"/>
        <w:numPr>
          <w:ilvl w:val="1"/>
          <w:numId w:val="6"/>
        </w:numPr>
        <w:autoSpaceDE w:val="0"/>
        <w:autoSpaceDN w:val="0"/>
        <w:spacing w:line="360" w:lineRule="auto"/>
        <w:jc w:val="both"/>
        <w:rPr>
          <w:rFonts w:ascii="David" w:eastAsia="Times New Roman" w:hAnsi="David" w:cs="David"/>
          <w:sz w:val="24"/>
          <w:szCs w:val="24"/>
        </w:rPr>
      </w:pPr>
      <w:r>
        <w:rPr>
          <w:rFonts w:ascii="David" w:eastAsia="Times New Roman" w:hAnsi="David" w:cs="David"/>
          <w:sz w:val="24"/>
          <w:szCs w:val="24"/>
          <w:rtl/>
        </w:rPr>
        <w:t xml:space="preserve">משך שנים קבעה ההלכה הפסוקה כי אין תחולה של סעיף 11 (ב) לחוק המזונות על בני זוג יהודים (ראה  ע"א 250/83 </w:t>
      </w:r>
      <w:r w:rsidR="00ED06DE">
        <w:rPr>
          <w:rFonts w:ascii="David" w:eastAsia="Times New Roman" w:hAnsi="David" w:cs="David"/>
          <w:b/>
          <w:bCs/>
          <w:sz w:val="24"/>
          <w:szCs w:val="24"/>
          <w:rtl/>
        </w:rPr>
        <w:t xml:space="preserve">סחר עומרי ואח' </w:t>
      </w:r>
      <w:r>
        <w:rPr>
          <w:rFonts w:ascii="David" w:eastAsia="Times New Roman" w:hAnsi="David" w:cs="David"/>
          <w:b/>
          <w:bCs/>
          <w:sz w:val="24"/>
          <w:szCs w:val="24"/>
          <w:rtl/>
        </w:rPr>
        <w:t>נגד מוחמד עבדאלפתאח אברהים זועבי</w:t>
      </w:r>
      <w:r>
        <w:rPr>
          <w:rFonts w:ascii="David" w:eastAsia="Times New Roman" w:hAnsi="David" w:cs="David"/>
          <w:sz w:val="24"/>
          <w:szCs w:val="24"/>
          <w:rtl/>
        </w:rPr>
        <w:t xml:space="preserve"> (08.05.1985) והלכות שקדמו לו - ע"א  321/78 </w:t>
      </w:r>
      <w:r>
        <w:rPr>
          <w:rFonts w:ascii="David" w:eastAsia="Times New Roman" w:hAnsi="David" w:cs="David"/>
          <w:b/>
          <w:bCs/>
          <w:sz w:val="24"/>
          <w:szCs w:val="24"/>
          <w:rtl/>
        </w:rPr>
        <w:t>פלונית נ' פלוני</w:t>
      </w:r>
      <w:r w:rsidR="00022361">
        <w:rPr>
          <w:rFonts w:ascii="David" w:eastAsia="Times New Roman" w:hAnsi="David" w:cs="David"/>
          <w:sz w:val="24"/>
          <w:szCs w:val="24"/>
          <w:rtl/>
        </w:rPr>
        <w:t xml:space="preserve"> (12.02.1979)</w:t>
      </w:r>
      <w:r>
        <w:rPr>
          <w:rFonts w:ascii="David" w:eastAsia="Times New Roman" w:hAnsi="David" w:cs="David"/>
          <w:sz w:val="24"/>
          <w:szCs w:val="24"/>
          <w:rtl/>
        </w:rPr>
        <w:t xml:space="preserve">, המ' 22/72 </w:t>
      </w:r>
      <w:r>
        <w:rPr>
          <w:rFonts w:ascii="David" w:eastAsia="Times New Roman" w:hAnsi="David" w:cs="David"/>
          <w:b/>
          <w:bCs/>
          <w:sz w:val="24"/>
          <w:szCs w:val="24"/>
          <w:rtl/>
        </w:rPr>
        <w:t xml:space="preserve">נדב נ' </w:t>
      </w:r>
      <w:r w:rsidR="00ED06DE">
        <w:rPr>
          <w:rFonts w:ascii="David" w:eastAsia="Times New Roman" w:hAnsi="David" w:cs="David" w:hint="cs"/>
          <w:b/>
          <w:bCs/>
          <w:sz w:val="24"/>
          <w:szCs w:val="24"/>
          <w:rtl/>
        </w:rPr>
        <w:t>נדב</w:t>
      </w:r>
      <w:r w:rsidR="007242B7">
        <w:rPr>
          <w:rFonts w:ascii="David" w:eastAsia="Times New Roman" w:hAnsi="David" w:cs="David"/>
          <w:sz w:val="24"/>
          <w:szCs w:val="24"/>
          <w:rtl/>
        </w:rPr>
        <w:t xml:space="preserve"> (26.03.1972))</w:t>
      </w:r>
      <w:r w:rsidR="007242B7">
        <w:rPr>
          <w:rFonts w:ascii="David" w:eastAsia="Times New Roman" w:hAnsi="David" w:cs="David" w:hint="cs"/>
          <w:sz w:val="24"/>
          <w:szCs w:val="24"/>
          <w:rtl/>
        </w:rPr>
        <w:t xml:space="preserve">. </w:t>
      </w:r>
      <w:r w:rsidRPr="007242B7">
        <w:rPr>
          <w:rFonts w:ascii="David" w:eastAsia="Times New Roman" w:hAnsi="David" w:cs="David"/>
          <w:sz w:val="24"/>
          <w:szCs w:val="24"/>
          <w:rtl/>
        </w:rPr>
        <w:t>תימוכין לגישה הנ"ל ניתן למצוא ב</w:t>
      </w:r>
      <w:r w:rsidR="00ED06DE">
        <w:rPr>
          <w:rFonts w:ascii="David" w:eastAsia="Times New Roman" w:hAnsi="David" w:cs="David" w:hint="cs"/>
          <w:sz w:val="24"/>
          <w:szCs w:val="24"/>
          <w:rtl/>
        </w:rPr>
        <w:t xml:space="preserve">נוסח </w:t>
      </w:r>
      <w:r w:rsidRPr="007242B7">
        <w:rPr>
          <w:rFonts w:ascii="David" w:eastAsia="Times New Roman" w:hAnsi="David" w:cs="David"/>
          <w:sz w:val="24"/>
          <w:szCs w:val="24"/>
          <w:rtl/>
        </w:rPr>
        <w:t xml:space="preserve">הוראת </w:t>
      </w:r>
      <w:r w:rsidRPr="007242B7">
        <w:rPr>
          <w:rFonts w:ascii="David" w:eastAsia="Times New Roman" w:hAnsi="David" w:cs="David"/>
          <w:color w:val="000000"/>
          <w:sz w:val="24"/>
          <w:szCs w:val="24"/>
          <w:rtl/>
        </w:rPr>
        <w:t>סעיף 3 (א) לחוק המזונות</w:t>
      </w:r>
      <w:r w:rsidR="00ED06DE">
        <w:rPr>
          <w:rFonts w:ascii="David" w:eastAsia="Times New Roman" w:hAnsi="David" w:cs="David" w:hint="cs"/>
          <w:color w:val="000000"/>
          <w:sz w:val="24"/>
          <w:szCs w:val="24"/>
          <w:rtl/>
        </w:rPr>
        <w:t>.</w:t>
      </w:r>
      <w:r w:rsidR="000C3CB6">
        <w:rPr>
          <w:rFonts w:ascii="David" w:eastAsia="Times New Roman" w:hAnsi="David" w:cs="David" w:hint="cs"/>
          <w:sz w:val="24"/>
          <w:szCs w:val="24"/>
          <w:rtl/>
        </w:rPr>
        <w:t xml:space="preserve"> ראה גם סקירה של המחלוקת ברמ"ש (ת"א) 64590-12-23 </w:t>
      </w:r>
      <w:r w:rsidR="000C3CB6">
        <w:rPr>
          <w:rFonts w:ascii="David" w:eastAsia="Times New Roman" w:hAnsi="David" w:cs="David" w:hint="cs"/>
          <w:b/>
          <w:bCs/>
          <w:sz w:val="24"/>
          <w:szCs w:val="24"/>
          <w:rtl/>
        </w:rPr>
        <w:t xml:space="preserve">פלונית נ' </w:t>
      </w:r>
      <w:r w:rsidR="000C3CB6">
        <w:rPr>
          <w:rFonts w:ascii="David" w:eastAsia="Times New Roman" w:hAnsi="David" w:cs="David" w:hint="cs"/>
          <w:b/>
          <w:bCs/>
          <w:sz w:val="24"/>
          <w:szCs w:val="24"/>
          <w:rtl/>
        </w:rPr>
        <w:lastRenderedPageBreak/>
        <w:t xml:space="preserve">פלוני </w:t>
      </w:r>
      <w:r w:rsidR="000C3CB6">
        <w:rPr>
          <w:rFonts w:ascii="David" w:eastAsia="Times New Roman" w:hAnsi="David" w:cs="David" w:hint="cs"/>
          <w:sz w:val="24"/>
          <w:szCs w:val="24"/>
          <w:rtl/>
        </w:rPr>
        <w:t>(5.2.24) מפי כב' השופט שילה התומך ב</w:t>
      </w:r>
      <w:r w:rsidR="001E03B1">
        <w:rPr>
          <w:rFonts w:ascii="David" w:eastAsia="Times New Roman" w:hAnsi="David" w:cs="David" w:hint="cs"/>
          <w:sz w:val="24"/>
          <w:szCs w:val="24"/>
          <w:rtl/>
        </w:rPr>
        <w:t xml:space="preserve">עמדה זו וכן בעמ"ש (חי) </w:t>
      </w:r>
      <w:r w:rsidR="001E03B1">
        <w:rPr>
          <w:rFonts w:ascii="David" w:eastAsia="Times New Roman" w:hAnsi="David" w:cs="David" w:hint="cs"/>
          <w:b/>
          <w:bCs/>
          <w:sz w:val="24"/>
          <w:szCs w:val="24"/>
          <w:rtl/>
        </w:rPr>
        <w:t xml:space="preserve">א' נ' ב' </w:t>
      </w:r>
      <w:r w:rsidR="001E03B1">
        <w:rPr>
          <w:rFonts w:ascii="David" w:eastAsia="Times New Roman" w:hAnsi="David" w:cs="David" w:hint="cs"/>
          <w:sz w:val="24"/>
          <w:szCs w:val="24"/>
          <w:rtl/>
        </w:rPr>
        <w:t xml:space="preserve">(21.2.22) שם היתה מחלוקת בין חברי ההרכב ביחס לתחולת החוק. </w:t>
      </w:r>
    </w:p>
    <w:p w:rsidR="0051626F" w:rsidRDefault="0051626F" w:rsidP="005E2103">
      <w:pPr>
        <w:pStyle w:val="ad"/>
        <w:numPr>
          <w:ilvl w:val="1"/>
          <w:numId w:val="6"/>
        </w:numPr>
        <w:autoSpaceDE w:val="0"/>
        <w:autoSpaceDN w:val="0"/>
        <w:spacing w:line="360" w:lineRule="auto"/>
        <w:jc w:val="both"/>
        <w:rPr>
          <w:rFonts w:ascii="David" w:eastAsia="Times New Roman" w:hAnsi="David" w:cs="David"/>
          <w:sz w:val="24"/>
          <w:szCs w:val="24"/>
        </w:rPr>
      </w:pPr>
      <w:r>
        <w:rPr>
          <w:rFonts w:ascii="David" w:eastAsia="Times New Roman" w:hAnsi="David" w:cs="David"/>
          <w:sz w:val="24"/>
          <w:szCs w:val="24"/>
          <w:rtl/>
        </w:rPr>
        <w:t xml:space="preserve">מנגד, בשנים האחרונות החלה להתפתח פסיקה של בתי משפט לענייני משפחה ואף של בית המשפט המחוזי הקוראת להחלת הוראות החוק הנ"ל גם על יהודים ובעלי דין אישי (ראה למשל עמ"ש 9560-07-13 </w:t>
      </w:r>
      <w:r>
        <w:rPr>
          <w:rFonts w:ascii="David" w:eastAsia="Times New Roman" w:hAnsi="David" w:cs="David"/>
          <w:b/>
          <w:bCs/>
          <w:sz w:val="24"/>
          <w:szCs w:val="24"/>
          <w:rtl/>
        </w:rPr>
        <w:t xml:space="preserve">א' נ' א' </w:t>
      </w:r>
      <w:r w:rsidR="00117C42">
        <w:rPr>
          <w:rFonts w:ascii="David" w:eastAsia="Times New Roman" w:hAnsi="David" w:cs="David"/>
          <w:sz w:val="24"/>
          <w:szCs w:val="24"/>
          <w:rtl/>
        </w:rPr>
        <w:t>(27.03.2014)</w:t>
      </w:r>
      <w:r w:rsidR="00117C42">
        <w:rPr>
          <w:rFonts w:ascii="David" w:eastAsia="Times New Roman" w:hAnsi="David" w:cs="David" w:hint="cs"/>
          <w:sz w:val="24"/>
          <w:szCs w:val="24"/>
          <w:rtl/>
        </w:rPr>
        <w:t xml:space="preserve">, </w:t>
      </w:r>
      <w:r w:rsidR="00117C42" w:rsidRPr="00C45179">
        <w:rPr>
          <w:rFonts w:ascii="David" w:hAnsi="David" w:cs="David" w:hint="cs"/>
          <w:sz w:val="24"/>
          <w:szCs w:val="24"/>
          <w:rtl/>
        </w:rPr>
        <w:t xml:space="preserve">בתיק עמ"ש (מרכז) 6664-03-22 </w:t>
      </w:r>
      <w:r w:rsidR="00117C42" w:rsidRPr="00C45179">
        <w:rPr>
          <w:rFonts w:ascii="David" w:hAnsi="David" w:cs="David" w:hint="cs"/>
          <w:b/>
          <w:bCs/>
          <w:sz w:val="24"/>
          <w:szCs w:val="24"/>
          <w:rtl/>
        </w:rPr>
        <w:t>פלוני נ' פלונית</w:t>
      </w:r>
      <w:r w:rsidR="00117C42" w:rsidRPr="00C45179">
        <w:rPr>
          <w:rFonts w:ascii="David" w:hAnsi="David" w:cs="David" w:hint="cs"/>
          <w:sz w:val="24"/>
          <w:szCs w:val="24"/>
          <w:rtl/>
        </w:rPr>
        <w:t xml:space="preserve"> (ניתן ביום 31.3.23)</w:t>
      </w:r>
      <w:r w:rsidR="00117C42">
        <w:rPr>
          <w:rFonts w:ascii="David" w:hAnsi="David" w:cs="David" w:hint="cs"/>
          <w:sz w:val="24"/>
          <w:szCs w:val="24"/>
          <w:rtl/>
        </w:rPr>
        <w:t>).</w:t>
      </w:r>
    </w:p>
    <w:p w:rsidR="00961BD0" w:rsidRPr="00C123C6" w:rsidRDefault="0051626F" w:rsidP="00C123C6">
      <w:pPr>
        <w:pStyle w:val="ad"/>
        <w:numPr>
          <w:ilvl w:val="1"/>
          <w:numId w:val="6"/>
        </w:numPr>
        <w:autoSpaceDE w:val="0"/>
        <w:autoSpaceDN w:val="0"/>
        <w:spacing w:line="360" w:lineRule="auto"/>
        <w:jc w:val="both"/>
        <w:rPr>
          <w:rFonts w:ascii="David" w:eastAsia="Times New Roman" w:hAnsi="David" w:cs="David"/>
          <w:sz w:val="24"/>
          <w:szCs w:val="24"/>
          <w:rtl/>
        </w:rPr>
      </w:pPr>
      <w:r w:rsidRPr="00C123C6">
        <w:rPr>
          <w:rFonts w:ascii="David" w:eastAsia="Times New Roman" w:hAnsi="David" w:cs="David"/>
          <w:sz w:val="24"/>
          <w:szCs w:val="24"/>
          <w:rtl/>
        </w:rPr>
        <w:t>לפי עמדה זו, ביהמ"ש לענייני משפחה מוסמך ורשאי להחיל את הוראת סעיף 11(ב) לחוק המזונות גם על מי שחייב במזונות ילדיו מכוח הדין האישי וזאת משני טעמים: הראשון, מכוח פרשנות של חוק המזונות ברוח עקרון השוויון שבחוק היסוד : כבוד האדם וחירותו (כפי שנהגה הפסיקה, מבלי להצהיר על בטלות החוק הישן) . לפי גישה זו, קביעה שלפיה מי שיש לו דין אישי לא יוכל לעשות שימוש בטענת "ההתיישנות" או "שיהוי" בביצוע פסק דין למזונות אינה מתיישבת עם עיקרון השוויון המעוגן בחוק היסוד כבוד האדם וחירותו ומפלה את התובע לרעה ללא כל סיבה מוצדקת; השני, וכפתרון משפטי למי שחל עליו דין אישי מכוחו הוא חב במזונות ילדיו. כאן ייעשה הדבר באמצעות פיתוח משפט המשפחה האזרחי על ידי בתי המשפט</w:t>
      </w:r>
      <w:r w:rsidR="00C123C6">
        <w:rPr>
          <w:rFonts w:ascii="David" w:eastAsia="Times New Roman" w:hAnsi="David" w:cs="David"/>
          <w:sz w:val="24"/>
          <w:szCs w:val="24"/>
          <w:rtl/>
        </w:rPr>
        <w:t xml:space="preserve"> לענייני משפחה </w:t>
      </w:r>
      <w:r w:rsidR="00C123C6">
        <w:rPr>
          <w:rFonts w:ascii="David" w:eastAsia="Times New Roman" w:hAnsi="David" w:cs="David" w:hint="cs"/>
          <w:sz w:val="24"/>
          <w:szCs w:val="24"/>
          <w:rtl/>
        </w:rPr>
        <w:t>(</w:t>
      </w:r>
      <w:r w:rsidR="00C123C6">
        <w:rPr>
          <w:rFonts w:ascii="David" w:eastAsia="Times New Roman" w:hAnsi="David" w:cs="David"/>
          <w:sz w:val="24"/>
          <w:szCs w:val="24"/>
          <w:rtl/>
        </w:rPr>
        <w:t xml:space="preserve">ראה לעניין זה </w:t>
      </w:r>
      <w:r w:rsidR="00C123C6">
        <w:rPr>
          <w:rFonts w:ascii="David" w:eastAsia="Times New Roman" w:hAnsi="David" w:cs="David" w:hint="cs"/>
          <w:sz w:val="24"/>
          <w:szCs w:val="24"/>
          <w:rtl/>
        </w:rPr>
        <w:t xml:space="preserve">למשל </w:t>
      </w:r>
      <w:r w:rsidRPr="00C123C6">
        <w:rPr>
          <w:rFonts w:ascii="David" w:eastAsia="Times New Roman" w:hAnsi="David" w:cs="David"/>
          <w:sz w:val="24"/>
          <w:szCs w:val="24"/>
          <w:rtl/>
        </w:rPr>
        <w:t xml:space="preserve">עמ"ש 9560-07-13 </w:t>
      </w:r>
      <w:r w:rsidRPr="00C123C6">
        <w:rPr>
          <w:rFonts w:ascii="David" w:eastAsia="Times New Roman" w:hAnsi="David" w:cs="David"/>
          <w:b/>
          <w:bCs/>
          <w:sz w:val="24"/>
          <w:szCs w:val="24"/>
          <w:rtl/>
        </w:rPr>
        <w:t xml:space="preserve">א' נ' א' </w:t>
      </w:r>
      <w:r w:rsidRPr="00C123C6">
        <w:rPr>
          <w:rFonts w:ascii="David" w:eastAsia="Times New Roman" w:hAnsi="David" w:cs="David"/>
          <w:sz w:val="24"/>
          <w:szCs w:val="24"/>
          <w:rtl/>
        </w:rPr>
        <w:t xml:space="preserve">(ניתן ביום 27.3.14)), ע"א (ים) 25829-01-15 </w:t>
      </w:r>
      <w:r w:rsidRPr="00C123C6">
        <w:rPr>
          <w:rFonts w:ascii="David" w:eastAsia="Times New Roman" w:hAnsi="David" w:cs="David"/>
          <w:b/>
          <w:bCs/>
          <w:sz w:val="24"/>
          <w:szCs w:val="24"/>
          <w:rtl/>
        </w:rPr>
        <w:t xml:space="preserve">מ.ל נ' ש.ר </w:t>
      </w:r>
      <w:r w:rsidRPr="00C123C6">
        <w:rPr>
          <w:rFonts w:ascii="David" w:eastAsia="Times New Roman" w:hAnsi="David" w:cs="David"/>
          <w:sz w:val="24"/>
          <w:szCs w:val="24"/>
          <w:rtl/>
        </w:rPr>
        <w:t>(12.08.2015)</w:t>
      </w:r>
      <w:r w:rsidRPr="00C123C6">
        <w:rPr>
          <w:rFonts w:ascii="David" w:eastAsia="Times New Roman" w:hAnsi="David" w:cs="David"/>
          <w:b/>
          <w:bCs/>
          <w:sz w:val="24"/>
          <w:szCs w:val="24"/>
          <w:rtl/>
        </w:rPr>
        <w:t xml:space="preserve">; </w:t>
      </w:r>
      <w:r w:rsidRPr="00C123C6">
        <w:rPr>
          <w:rFonts w:ascii="David" w:eastAsia="Times New Roman" w:hAnsi="David" w:cs="David"/>
          <w:sz w:val="24"/>
          <w:szCs w:val="24"/>
          <w:rtl/>
        </w:rPr>
        <w:t>תמ"ש 6929-04-13</w:t>
      </w:r>
      <w:r w:rsidRPr="00C123C6">
        <w:rPr>
          <w:rFonts w:ascii="David" w:eastAsia="Times New Roman" w:hAnsi="David" w:cs="David"/>
          <w:b/>
          <w:bCs/>
          <w:sz w:val="24"/>
          <w:szCs w:val="24"/>
          <w:rtl/>
        </w:rPr>
        <w:t xml:space="preserve"> ש. מ. נ' א.ד. </w:t>
      </w:r>
      <w:r w:rsidRPr="00C123C6">
        <w:rPr>
          <w:rFonts w:ascii="David" w:eastAsia="Times New Roman" w:hAnsi="David" w:cs="David"/>
          <w:sz w:val="24"/>
          <w:szCs w:val="24"/>
          <w:rtl/>
        </w:rPr>
        <w:t xml:space="preserve">(23.06.2013); </w:t>
      </w:r>
      <w:r w:rsidRPr="00C123C6">
        <w:rPr>
          <w:rFonts w:ascii="David" w:eastAsia="Times New Roman" w:hAnsi="David" w:cs="David"/>
          <w:b/>
          <w:bCs/>
          <w:sz w:val="24"/>
          <w:szCs w:val="24"/>
          <w:rtl/>
        </w:rPr>
        <w:t> </w:t>
      </w:r>
      <w:r w:rsidRPr="00C123C6">
        <w:rPr>
          <w:rFonts w:ascii="David" w:eastAsia="Times New Roman" w:hAnsi="David" w:cs="David"/>
          <w:sz w:val="24"/>
          <w:szCs w:val="24"/>
          <w:rtl/>
        </w:rPr>
        <w:t>ע"ר 44163-12-15</w:t>
      </w:r>
      <w:r w:rsidRPr="00C123C6">
        <w:rPr>
          <w:rFonts w:ascii="David" w:eastAsia="Times New Roman" w:hAnsi="David" w:cs="David"/>
          <w:b/>
          <w:bCs/>
          <w:sz w:val="24"/>
          <w:szCs w:val="24"/>
          <w:rtl/>
        </w:rPr>
        <w:t xml:space="preserve"> פלונית נ' לפוני </w:t>
      </w:r>
      <w:r w:rsidRPr="00C123C6">
        <w:rPr>
          <w:rFonts w:ascii="David" w:eastAsia="Times New Roman" w:hAnsi="David" w:cs="David"/>
          <w:sz w:val="24"/>
          <w:szCs w:val="24"/>
          <w:rtl/>
        </w:rPr>
        <w:t>(17.01.2016)</w:t>
      </w:r>
      <w:r w:rsidR="00C123C6">
        <w:rPr>
          <w:rFonts w:ascii="David" w:eastAsia="Times New Roman" w:hAnsi="David" w:cs="David" w:hint="cs"/>
          <w:sz w:val="24"/>
          <w:szCs w:val="24"/>
          <w:rtl/>
        </w:rPr>
        <w:t>).</w:t>
      </w:r>
    </w:p>
    <w:p w:rsidR="0051626F" w:rsidRDefault="00961BD0" w:rsidP="00F25E50">
      <w:pPr>
        <w:pStyle w:val="ad"/>
        <w:numPr>
          <w:ilvl w:val="1"/>
          <w:numId w:val="6"/>
        </w:numPr>
        <w:autoSpaceDE w:val="0"/>
        <w:autoSpaceDN w:val="0"/>
        <w:spacing w:line="360" w:lineRule="auto"/>
        <w:jc w:val="both"/>
        <w:rPr>
          <w:rFonts w:ascii="David" w:eastAsia="Times New Roman" w:hAnsi="David" w:cs="David"/>
          <w:sz w:val="24"/>
          <w:szCs w:val="24"/>
          <w:rtl/>
        </w:rPr>
      </w:pPr>
      <w:r>
        <w:rPr>
          <w:rFonts w:ascii="David" w:eastAsia="Times New Roman" w:hAnsi="David" w:cs="David" w:hint="cs"/>
          <w:sz w:val="24"/>
          <w:szCs w:val="24"/>
          <w:rtl/>
        </w:rPr>
        <w:t>בענייננו</w:t>
      </w:r>
      <w:r w:rsidR="00F25E50">
        <w:rPr>
          <w:rFonts w:ascii="David" w:eastAsia="Times New Roman" w:hAnsi="David" w:cs="David" w:hint="cs"/>
          <w:sz w:val="24"/>
          <w:szCs w:val="24"/>
          <w:rtl/>
        </w:rPr>
        <w:t xml:space="preserve"> בכל אופן</w:t>
      </w:r>
      <w:r>
        <w:rPr>
          <w:rFonts w:ascii="David" w:eastAsia="Times New Roman" w:hAnsi="David" w:cs="David" w:hint="cs"/>
          <w:sz w:val="24"/>
          <w:szCs w:val="24"/>
          <w:rtl/>
        </w:rPr>
        <w:t xml:space="preserve">, לא נטען כי אין </w:t>
      </w:r>
      <w:r w:rsidR="00F25E50">
        <w:rPr>
          <w:rFonts w:ascii="David" w:eastAsia="Times New Roman" w:hAnsi="David" w:cs="David" w:hint="cs"/>
          <w:sz w:val="24"/>
          <w:szCs w:val="24"/>
          <w:rtl/>
        </w:rPr>
        <w:t>תחולה להוראות החו</w:t>
      </w:r>
      <w:r>
        <w:rPr>
          <w:rFonts w:ascii="David" w:eastAsia="Times New Roman" w:hAnsi="David" w:cs="David" w:hint="cs"/>
          <w:sz w:val="24"/>
          <w:szCs w:val="24"/>
          <w:rtl/>
        </w:rPr>
        <w:t>ק לאור דתם של הצדדים.</w:t>
      </w:r>
    </w:p>
    <w:p w:rsidR="0051626F" w:rsidRPr="007242B7" w:rsidRDefault="00961BD0" w:rsidP="00117C42">
      <w:pPr>
        <w:pStyle w:val="ad"/>
        <w:numPr>
          <w:ilvl w:val="1"/>
          <w:numId w:val="6"/>
        </w:numPr>
        <w:autoSpaceDE w:val="0"/>
        <w:autoSpaceDN w:val="0"/>
        <w:spacing w:line="360" w:lineRule="auto"/>
        <w:jc w:val="both"/>
        <w:rPr>
          <w:rFonts w:ascii="David" w:eastAsia="Times New Roman" w:hAnsi="David" w:cs="David"/>
          <w:sz w:val="24"/>
          <w:szCs w:val="24"/>
        </w:rPr>
      </w:pPr>
      <w:r>
        <w:rPr>
          <w:rFonts w:ascii="David" w:eastAsia="Times New Roman" w:hAnsi="David" w:cs="David" w:hint="cs"/>
          <w:sz w:val="24"/>
          <w:szCs w:val="24"/>
          <w:rtl/>
        </w:rPr>
        <w:t>בפסיקה נקבע כי ככלל ל</w:t>
      </w:r>
      <w:r w:rsidR="007242B7">
        <w:rPr>
          <w:rFonts w:ascii="David" w:eastAsia="Times New Roman" w:hAnsi="David" w:cs="David" w:hint="cs"/>
          <w:sz w:val="24"/>
          <w:szCs w:val="24"/>
          <w:rtl/>
        </w:rPr>
        <w:t xml:space="preserve">א </w:t>
      </w:r>
      <w:r>
        <w:rPr>
          <w:rFonts w:ascii="David" w:eastAsia="Times New Roman" w:hAnsi="David" w:cs="David" w:hint="cs"/>
          <w:sz w:val="24"/>
          <w:szCs w:val="24"/>
          <w:rtl/>
        </w:rPr>
        <w:t>י</w:t>
      </w:r>
      <w:r w:rsidR="00C123C6">
        <w:rPr>
          <w:rFonts w:ascii="David" w:eastAsia="Times New Roman" w:hAnsi="David" w:cs="David" w:hint="cs"/>
          <w:sz w:val="24"/>
          <w:szCs w:val="24"/>
          <w:rtl/>
        </w:rPr>
        <w:t xml:space="preserve">ינתן אישור גביית מזונות </w:t>
      </w:r>
      <w:r w:rsidR="007242B7">
        <w:rPr>
          <w:rFonts w:ascii="David" w:eastAsia="Times New Roman" w:hAnsi="David" w:cs="David" w:hint="cs"/>
          <w:sz w:val="24"/>
          <w:szCs w:val="24"/>
          <w:rtl/>
        </w:rPr>
        <w:t xml:space="preserve">במקרים בהם נוכח שתיקה ממושכת </w:t>
      </w:r>
      <w:r w:rsidR="00251DCA">
        <w:rPr>
          <w:rFonts w:ascii="David" w:eastAsia="Times New Roman" w:hAnsi="David" w:cs="David" w:hint="cs"/>
          <w:sz w:val="24"/>
          <w:szCs w:val="24"/>
          <w:rtl/>
        </w:rPr>
        <w:t xml:space="preserve">ללא הסבר </w:t>
      </w:r>
      <w:r w:rsidR="007242B7">
        <w:rPr>
          <w:rFonts w:ascii="David" w:eastAsia="Times New Roman" w:hAnsi="David" w:cs="David" w:hint="cs"/>
          <w:sz w:val="24"/>
          <w:szCs w:val="24"/>
          <w:rtl/>
        </w:rPr>
        <w:t>של הזוכה</w:t>
      </w:r>
      <w:r w:rsidR="00117C42">
        <w:rPr>
          <w:rFonts w:ascii="David" w:eastAsia="Times New Roman" w:hAnsi="David" w:cs="David" w:hint="cs"/>
          <w:sz w:val="24"/>
          <w:szCs w:val="24"/>
          <w:rtl/>
        </w:rPr>
        <w:t xml:space="preserve"> והיעדר גביה</w:t>
      </w:r>
      <w:r w:rsidR="007242B7">
        <w:rPr>
          <w:rFonts w:ascii="David" w:eastAsia="Times New Roman" w:hAnsi="David" w:cs="David" w:hint="cs"/>
          <w:sz w:val="24"/>
          <w:szCs w:val="24"/>
          <w:rtl/>
        </w:rPr>
        <w:t xml:space="preserve"> ה</w:t>
      </w:r>
      <w:r w:rsidR="00117C42">
        <w:rPr>
          <w:rFonts w:ascii="David" w:eastAsia="Times New Roman" w:hAnsi="David" w:cs="David" w:hint="cs"/>
          <w:sz w:val="24"/>
          <w:szCs w:val="24"/>
          <w:rtl/>
        </w:rPr>
        <w:t xml:space="preserve">וצג מצג של ויתור על המזונות או ניתן להניח כי הזכאי למזנות לא נזקק להם. </w:t>
      </w:r>
      <w:r w:rsidR="0051626F" w:rsidRPr="007242B7">
        <w:rPr>
          <w:rFonts w:ascii="David" w:eastAsia="Times New Roman" w:hAnsi="David" w:cs="David"/>
          <w:sz w:val="24"/>
          <w:szCs w:val="24"/>
          <w:rtl/>
        </w:rPr>
        <w:t xml:space="preserve">ראה למשל </w:t>
      </w:r>
      <w:r w:rsidR="00251DCA">
        <w:rPr>
          <w:rFonts w:ascii="David" w:eastAsia="Times New Roman" w:hAnsi="David" w:cs="David" w:hint="cs"/>
          <w:sz w:val="24"/>
          <w:szCs w:val="24"/>
          <w:rtl/>
        </w:rPr>
        <w:t xml:space="preserve">האמור בבע"מ 1752/23 </w:t>
      </w:r>
      <w:r w:rsidR="00251DCA">
        <w:rPr>
          <w:rFonts w:ascii="David" w:eastAsia="Times New Roman" w:hAnsi="David" w:cs="David" w:hint="cs"/>
          <w:b/>
          <w:bCs/>
          <w:sz w:val="24"/>
          <w:szCs w:val="24"/>
          <w:rtl/>
        </w:rPr>
        <w:t xml:space="preserve">פלונית נ' פלוני </w:t>
      </w:r>
      <w:r w:rsidR="0051626F" w:rsidRPr="007242B7">
        <w:rPr>
          <w:rFonts w:ascii="David" w:eastAsia="Times New Roman" w:hAnsi="David" w:cs="David"/>
          <w:sz w:val="24"/>
          <w:szCs w:val="24"/>
          <w:rtl/>
        </w:rPr>
        <w:t>(</w:t>
      </w:r>
      <w:r w:rsidR="00251DCA">
        <w:rPr>
          <w:rFonts w:ascii="David" w:eastAsia="Times New Roman" w:hAnsi="David" w:cs="David" w:hint="cs"/>
          <w:sz w:val="24"/>
          <w:szCs w:val="24"/>
          <w:rtl/>
        </w:rPr>
        <w:t>25.6.23</w:t>
      </w:r>
      <w:r w:rsidR="0051626F" w:rsidRPr="007242B7">
        <w:rPr>
          <w:rFonts w:ascii="David" w:eastAsia="Times New Roman" w:hAnsi="David" w:cs="David"/>
          <w:sz w:val="24"/>
          <w:szCs w:val="24"/>
          <w:rtl/>
        </w:rPr>
        <w:t>):</w:t>
      </w:r>
    </w:p>
    <w:p w:rsidR="00251DCA" w:rsidRPr="00251DCA" w:rsidRDefault="00251DCA" w:rsidP="00251DCA">
      <w:pPr>
        <w:autoSpaceDE w:val="0"/>
        <w:autoSpaceDN w:val="0"/>
        <w:spacing w:line="360" w:lineRule="auto"/>
        <w:ind w:left="1440"/>
        <w:contextualSpacing/>
        <w:jc w:val="both"/>
        <w:rPr>
          <w:rFonts w:ascii="David" w:hAnsi="David"/>
          <w:b/>
          <w:bCs/>
          <w:sz w:val="22"/>
          <w:szCs w:val="22"/>
        </w:rPr>
      </w:pPr>
      <w:r>
        <w:rPr>
          <w:rFonts w:ascii="David" w:hAnsi="David" w:hint="cs"/>
          <w:b/>
          <w:bCs/>
          <w:sz w:val="22"/>
          <w:szCs w:val="22"/>
          <w:rtl/>
        </w:rPr>
        <w:t>"</w:t>
      </w:r>
      <w:r w:rsidRPr="00251DCA">
        <w:rPr>
          <w:rFonts w:ascii="David" w:hAnsi="David"/>
          <w:b/>
          <w:bCs/>
          <w:sz w:val="22"/>
          <w:szCs w:val="22"/>
          <w:rtl/>
        </w:rPr>
        <w:t xml:space="preserve">יצוין בהקשר זה כי בעיקרו של דבר, דמי מזונות נועדו לספק את צרכיו היום-יומיים השוטפים של הזכאי להם; מתכלית זו של דמי המזונות נובעת הנחה, אשר מגולמת </w:t>
      </w:r>
      <w:hyperlink r:id="rId10" w:history="1">
        <w:r w:rsidRPr="00251DCA">
          <w:rPr>
            <w:rFonts w:ascii="David" w:hAnsi="David"/>
            <w:b/>
            <w:bCs/>
            <w:sz w:val="22"/>
            <w:szCs w:val="22"/>
            <w:rtl/>
          </w:rPr>
          <w:t>בסעיף 11(ב)</w:t>
        </w:r>
      </w:hyperlink>
      <w:r w:rsidRPr="00251DCA">
        <w:rPr>
          <w:rFonts w:ascii="David" w:hAnsi="David"/>
          <w:b/>
          <w:bCs/>
          <w:sz w:val="22"/>
          <w:szCs w:val="22"/>
          <w:rtl/>
        </w:rPr>
        <w:t xml:space="preserve"> לחוק המזונות, שלפיה מי שהשתהה בגביית דמי המזונות מוחזק כמי שוויתר עליהם </w:t>
      </w:r>
      <w:r>
        <w:rPr>
          <w:rFonts w:ascii="David" w:hAnsi="David" w:hint="cs"/>
          <w:b/>
          <w:bCs/>
          <w:sz w:val="22"/>
          <w:szCs w:val="22"/>
          <w:rtl/>
        </w:rPr>
        <w:t>...</w:t>
      </w:r>
      <w:r w:rsidRPr="00251DCA">
        <w:rPr>
          <w:rFonts w:ascii="David" w:hAnsi="David"/>
          <w:b/>
          <w:bCs/>
          <w:sz w:val="22"/>
          <w:szCs w:val="22"/>
          <w:rtl/>
        </w:rPr>
        <w:t xml:space="preserve"> ואולם, חזקה זו ניתנת לסתירה, ובשל כך, בין היתר, מוקנית לבית המשפט סמכות מכוח </w:t>
      </w:r>
      <w:hyperlink r:id="rId11" w:history="1">
        <w:r w:rsidRPr="00251DCA">
          <w:rPr>
            <w:rFonts w:ascii="David" w:hAnsi="David"/>
            <w:b/>
            <w:bCs/>
            <w:sz w:val="22"/>
            <w:szCs w:val="22"/>
            <w:rtl/>
          </w:rPr>
          <w:t>סעיף 11(ב)</w:t>
        </w:r>
      </w:hyperlink>
      <w:r w:rsidRPr="00251DCA">
        <w:rPr>
          <w:rFonts w:ascii="David" w:hAnsi="David"/>
          <w:b/>
          <w:bCs/>
          <w:sz w:val="22"/>
          <w:szCs w:val="22"/>
          <w:rtl/>
        </w:rPr>
        <w:t xml:space="preserve"> לחוק המזונות להרשות גביית מזונות לתקופה אשר עולה על שנתיים ממועד תחילת הפעולות לגבייתם. לפיכך, כאשר מוגשת בקשה לבית המשפט לקבלת רשות לגביית מזונות ש"התיישנו" כאמור, ובית המשפט משתכנע כי חלוף הזמן – מאז התקופה שבעדה נפסקו המזונות ועד למועד שבו החלו לפעול לגבייתם – לא נבע מוויתור על המזונות, אלא מטעמים שאין לזקוף לחובת המבקש, ברי כי מדובר בשיקול משמעותי שיכול להצדיק קבלת הבקשה.</w:t>
      </w:r>
    </w:p>
    <w:p w:rsidR="0051626F" w:rsidRDefault="0051626F" w:rsidP="005E2103">
      <w:pPr>
        <w:pStyle w:val="ad"/>
        <w:numPr>
          <w:ilvl w:val="1"/>
          <w:numId w:val="6"/>
        </w:numPr>
        <w:autoSpaceDE w:val="0"/>
        <w:autoSpaceDN w:val="0"/>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בעניין זה </w:t>
      </w:r>
      <w:r w:rsidR="005E2103">
        <w:rPr>
          <w:rFonts w:ascii="David" w:hAnsi="David" w:hint="cs"/>
          <w:rtl/>
        </w:rPr>
        <w:t xml:space="preserve">ראה </w:t>
      </w:r>
      <w:r>
        <w:rPr>
          <w:rFonts w:ascii="David" w:eastAsia="Times New Roman" w:hAnsi="David" w:cs="David"/>
          <w:sz w:val="24"/>
          <w:szCs w:val="24"/>
          <w:rtl/>
        </w:rPr>
        <w:t>גם החלטת כב' השופט זגורי ב</w:t>
      </w:r>
      <w:r>
        <w:rPr>
          <w:rFonts w:ascii="David" w:eastAsia="Times New Roman" w:hAnsi="David" w:cs="David"/>
          <w:b/>
          <w:bCs/>
          <w:sz w:val="24"/>
          <w:szCs w:val="24"/>
          <w:rtl/>
        </w:rPr>
        <w:t>תמ"ש 31035-07-16 ל.ש. נ' מ.ש.</w:t>
      </w:r>
      <w:r>
        <w:rPr>
          <w:rFonts w:ascii="David" w:eastAsia="Times New Roman" w:hAnsi="David" w:cs="David"/>
          <w:sz w:val="24"/>
          <w:szCs w:val="24"/>
          <w:rtl/>
        </w:rPr>
        <w:t xml:space="preserve"> (ניתן ביום 3.7.17) אשר נתנה אמנם בעניינם של חסרי דת, אולם מתאימה היא גם לענייננו:</w:t>
      </w:r>
    </w:p>
    <w:p w:rsidR="0051626F" w:rsidRPr="007242B7" w:rsidRDefault="0051626F" w:rsidP="00961BD0">
      <w:pPr>
        <w:autoSpaceDE w:val="0"/>
        <w:autoSpaceDN w:val="0"/>
        <w:spacing w:line="360" w:lineRule="auto"/>
        <w:ind w:left="1440"/>
        <w:contextualSpacing/>
        <w:jc w:val="both"/>
        <w:rPr>
          <w:rFonts w:ascii="David" w:hAnsi="David"/>
          <w:b/>
          <w:bCs/>
          <w:sz w:val="22"/>
          <w:szCs w:val="22"/>
          <w:rtl/>
        </w:rPr>
      </w:pPr>
      <w:r w:rsidRPr="007242B7">
        <w:rPr>
          <w:rFonts w:ascii="David" w:hAnsi="David"/>
          <w:b/>
          <w:bCs/>
          <w:sz w:val="22"/>
          <w:szCs w:val="22"/>
          <w:rtl/>
        </w:rPr>
        <w:lastRenderedPageBreak/>
        <w:t>"סעיף11(ב) לחוק המזונות יוצר הסדר פרטי</w:t>
      </w:r>
      <w:r w:rsidR="007242B7" w:rsidRPr="007242B7">
        <w:rPr>
          <w:rFonts w:ascii="David" w:hAnsi="David"/>
          <w:b/>
          <w:bCs/>
          <w:sz w:val="22"/>
          <w:szCs w:val="22"/>
          <w:rtl/>
        </w:rPr>
        <w:t xml:space="preserve"> של שיהוי והתיישנות בפני אכיפת </w:t>
      </w:r>
      <w:r w:rsidRPr="007242B7">
        <w:rPr>
          <w:rFonts w:ascii="David" w:hAnsi="David"/>
          <w:b/>
          <w:bCs/>
          <w:sz w:val="22"/>
          <w:szCs w:val="22"/>
          <w:rtl/>
        </w:rPr>
        <w:t xml:space="preserve"> פסק דין למזונות שחלפו מעל שנתיים מהמועד בו ניתן. ראינו כי קיימים הסברים ורציונלים ראויים ה</w:t>
      </w:r>
      <w:r w:rsidR="00F25E50">
        <w:rPr>
          <w:rFonts w:ascii="David" w:hAnsi="David"/>
          <w:b/>
          <w:bCs/>
          <w:sz w:val="22"/>
          <w:szCs w:val="22"/>
          <w:rtl/>
        </w:rPr>
        <w:t>עומדים בבסיס חקיקת סעיף 11(ב)  </w:t>
      </w:r>
      <w:r w:rsidRPr="007242B7">
        <w:rPr>
          <w:rFonts w:ascii="David" w:hAnsi="David"/>
          <w:b/>
          <w:bCs/>
          <w:sz w:val="22"/>
          <w:szCs w:val="22"/>
          <w:rtl/>
        </w:rPr>
        <w:t xml:space="preserve">לחוק המזונות, חוק ההוצאה לפועל, דיני ההתיישנות ותם הלב והיוצרים מקבילית  כוחות: מצד אחד הענקת משקל יתר ובכורה לאינטרס גביית המזונות לזוכה  האוחז בפסק דין כל עוד הגבייה מתבצעת בסמוך למתן פסק הדין כדי לספק באופן מיידי את המזונות השוטפים. מצד שני, הגנה על אינטרס ההסתמכות והתחשבות  בשיקולים נוספים כך שבמקרה של אי ביצוע </w:t>
      </w:r>
      <w:r w:rsidR="005E2103" w:rsidRPr="007242B7">
        <w:rPr>
          <w:rFonts w:ascii="David" w:hAnsi="David"/>
          <w:b/>
          <w:bCs/>
          <w:sz w:val="22"/>
          <w:szCs w:val="22"/>
          <w:rtl/>
        </w:rPr>
        <w:t>פעולות גבייה משך שנתיים ומעלה,</w:t>
      </w:r>
      <w:r w:rsidRPr="007242B7">
        <w:rPr>
          <w:rFonts w:ascii="David" w:hAnsi="David"/>
          <w:b/>
          <w:bCs/>
          <w:sz w:val="22"/>
          <w:szCs w:val="22"/>
          <w:rtl/>
        </w:rPr>
        <w:t xml:space="preserve"> שוב אין זכות אכיפה אוטומטית באמצעות ההוצאה לפועל אלא קיים תנאי מוקדם  לכך והוא הגשת תביעה לבית המשפט לענייני משפחה ועמידה בנטל המונח לפתחו של הזוכה להראות מדוע השתהה וכן כי דמי ה</w:t>
      </w:r>
      <w:r w:rsidR="005E2103" w:rsidRPr="007242B7">
        <w:rPr>
          <w:rFonts w:ascii="David" w:hAnsi="David"/>
          <w:b/>
          <w:bCs/>
          <w:sz w:val="22"/>
          <w:szCs w:val="22"/>
          <w:rtl/>
        </w:rPr>
        <w:t xml:space="preserve">מזונות לא שולמו כולם או חלקם </w:t>
      </w:r>
      <w:r w:rsidRPr="007242B7">
        <w:rPr>
          <w:rFonts w:ascii="David" w:hAnsi="David"/>
          <w:b/>
          <w:bCs/>
          <w:sz w:val="22"/>
          <w:szCs w:val="22"/>
          <w:rtl/>
        </w:rPr>
        <w:t>ועל כן יש לאפשר לו לנקוט בהליכי גבייה</w:t>
      </w:r>
      <w:r w:rsidR="007242B7">
        <w:rPr>
          <w:rFonts w:ascii="David" w:hAnsi="David" w:hint="cs"/>
          <w:b/>
          <w:bCs/>
          <w:sz w:val="22"/>
          <w:szCs w:val="22"/>
          <w:rtl/>
        </w:rPr>
        <w:t>"</w:t>
      </w:r>
      <w:r w:rsidRPr="007242B7">
        <w:rPr>
          <w:rFonts w:ascii="David" w:hAnsi="David"/>
          <w:b/>
          <w:bCs/>
          <w:sz w:val="22"/>
          <w:szCs w:val="22"/>
          <w:rtl/>
        </w:rPr>
        <w:t>.</w:t>
      </w:r>
    </w:p>
    <w:p w:rsidR="00F25E50" w:rsidRDefault="00F25E50" w:rsidP="00961BD0">
      <w:pPr>
        <w:pStyle w:val="ad"/>
        <w:numPr>
          <w:ilvl w:val="1"/>
          <w:numId w:val="6"/>
        </w:numPr>
        <w:autoSpaceDE w:val="0"/>
        <w:autoSpaceDN w:val="0"/>
        <w:spacing w:line="360" w:lineRule="auto"/>
        <w:jc w:val="both"/>
        <w:rPr>
          <w:rFonts w:ascii="David" w:eastAsia="Times New Roman" w:hAnsi="David" w:cs="David"/>
          <w:sz w:val="24"/>
          <w:szCs w:val="24"/>
        </w:rPr>
      </w:pPr>
      <w:r>
        <w:rPr>
          <w:rFonts w:ascii="David" w:eastAsia="Times New Roman" w:hAnsi="David" w:cs="David" w:hint="cs"/>
          <w:sz w:val="24"/>
          <w:szCs w:val="24"/>
          <w:rtl/>
        </w:rPr>
        <w:t xml:space="preserve">כך או כך, </w:t>
      </w:r>
      <w:r w:rsidR="00961BD0" w:rsidRPr="006B2F95">
        <w:rPr>
          <w:rFonts w:ascii="David" w:eastAsia="Times New Roman" w:hAnsi="David" w:cs="David"/>
          <w:sz w:val="24"/>
          <w:szCs w:val="24"/>
          <w:rtl/>
        </w:rPr>
        <w:t xml:space="preserve">ברע"א </w:t>
      </w:r>
      <w:r w:rsidR="00961BD0" w:rsidRPr="006B2F95">
        <w:rPr>
          <w:rFonts w:ascii="David" w:eastAsia="Times New Roman" w:hAnsi="David" w:cs="David"/>
          <w:b/>
          <w:bCs/>
          <w:sz w:val="24"/>
          <w:szCs w:val="24"/>
          <w:rtl/>
        </w:rPr>
        <w:t xml:space="preserve">78/89 דומב נ' דומב </w:t>
      </w:r>
      <w:r w:rsidR="00961BD0">
        <w:rPr>
          <w:rFonts w:ascii="David" w:eastAsia="Times New Roman" w:hAnsi="David" w:cs="David"/>
          <w:sz w:val="24"/>
          <w:szCs w:val="24"/>
          <w:rtl/>
        </w:rPr>
        <w:t>(ניתן ביום 1.3.89)</w:t>
      </w:r>
      <w:r w:rsidR="00961BD0">
        <w:rPr>
          <w:rFonts w:ascii="David" w:eastAsia="Times New Roman" w:hAnsi="David" w:cs="David" w:hint="cs"/>
          <w:sz w:val="24"/>
          <w:szCs w:val="24"/>
          <w:rtl/>
        </w:rPr>
        <w:t xml:space="preserve"> </w:t>
      </w:r>
      <w:r w:rsidR="007242B7">
        <w:rPr>
          <w:rFonts w:ascii="David" w:eastAsia="Times New Roman" w:hAnsi="David" w:cs="David" w:hint="cs"/>
          <w:sz w:val="24"/>
          <w:szCs w:val="24"/>
          <w:rtl/>
        </w:rPr>
        <w:t xml:space="preserve">נפסק כי </w:t>
      </w:r>
      <w:r w:rsidR="001B6775">
        <w:rPr>
          <w:rFonts w:ascii="David" w:eastAsia="Times New Roman" w:hAnsi="David" w:cs="David" w:hint="cs"/>
          <w:sz w:val="24"/>
          <w:szCs w:val="24"/>
          <w:rtl/>
        </w:rPr>
        <w:t xml:space="preserve">הגבלת סד הזמנים הקבוע בסעיף 11(ב) לחוק </w:t>
      </w:r>
      <w:r w:rsidR="009C1F9E">
        <w:rPr>
          <w:rFonts w:ascii="David" w:eastAsia="Times New Roman" w:hAnsi="David" w:cs="David" w:hint="cs"/>
          <w:sz w:val="24"/>
          <w:szCs w:val="24"/>
          <w:rtl/>
        </w:rPr>
        <w:t xml:space="preserve">המזונות </w:t>
      </w:r>
      <w:r w:rsidR="001B6775">
        <w:rPr>
          <w:rFonts w:ascii="David" w:eastAsia="Times New Roman" w:hAnsi="David" w:cs="David" w:hint="cs"/>
          <w:sz w:val="24"/>
          <w:szCs w:val="24"/>
          <w:rtl/>
        </w:rPr>
        <w:t>הנו ביחס ל</w:t>
      </w:r>
      <w:r>
        <w:rPr>
          <w:rFonts w:ascii="David" w:eastAsia="Times New Roman" w:hAnsi="David" w:cs="David" w:hint="cs"/>
          <w:sz w:val="24"/>
          <w:szCs w:val="24"/>
          <w:rtl/>
        </w:rPr>
        <w:t xml:space="preserve">מועד </w:t>
      </w:r>
      <w:r w:rsidR="001B6775">
        <w:rPr>
          <w:rFonts w:ascii="David" w:eastAsia="Times New Roman" w:hAnsi="David" w:cs="David" w:hint="cs"/>
          <w:sz w:val="24"/>
          <w:szCs w:val="24"/>
          <w:rtl/>
        </w:rPr>
        <w:t>פתיחת תיק</w:t>
      </w:r>
      <w:r>
        <w:rPr>
          <w:rFonts w:ascii="David" w:eastAsia="Times New Roman" w:hAnsi="David" w:cs="David" w:hint="cs"/>
          <w:sz w:val="24"/>
          <w:szCs w:val="24"/>
          <w:rtl/>
        </w:rPr>
        <w:t xml:space="preserve"> ההוצל"פ </w:t>
      </w:r>
      <w:r w:rsidR="001B6775">
        <w:rPr>
          <w:rFonts w:ascii="David" w:eastAsia="Times New Roman" w:hAnsi="David" w:cs="David" w:hint="cs"/>
          <w:sz w:val="24"/>
          <w:szCs w:val="24"/>
          <w:rtl/>
        </w:rPr>
        <w:t xml:space="preserve"> </w:t>
      </w:r>
      <w:r w:rsidR="001B6775" w:rsidRPr="006B2F95">
        <w:rPr>
          <w:rFonts w:ascii="David" w:eastAsia="Times New Roman" w:hAnsi="David" w:cs="David"/>
          <w:sz w:val="24"/>
          <w:szCs w:val="24"/>
          <w:rtl/>
        </w:rPr>
        <w:t xml:space="preserve">ולא ביחס להגדלת חוב שמבוצעת לאחר פתיחת התיק. </w:t>
      </w:r>
      <w:r w:rsidR="001B6775">
        <w:rPr>
          <w:rFonts w:ascii="David" w:eastAsia="Times New Roman" w:hAnsi="David" w:cs="David" w:hint="cs"/>
          <w:sz w:val="24"/>
          <w:szCs w:val="24"/>
          <w:rtl/>
        </w:rPr>
        <w:t>הדבר נובע, בין היתר, מכך ש</w:t>
      </w:r>
      <w:r w:rsidR="005E2103" w:rsidRPr="001B6775">
        <w:rPr>
          <w:rFonts w:ascii="David" w:eastAsia="Times New Roman" w:hAnsi="David" w:cs="David" w:hint="cs"/>
          <w:sz w:val="24"/>
          <w:szCs w:val="24"/>
          <w:rtl/>
        </w:rPr>
        <w:t xml:space="preserve">השיקולים שפורטו לעיל </w:t>
      </w:r>
      <w:r w:rsidR="001B6775">
        <w:rPr>
          <w:rFonts w:ascii="David" w:eastAsia="Times New Roman" w:hAnsi="David" w:cs="David" w:hint="cs"/>
          <w:sz w:val="24"/>
          <w:szCs w:val="24"/>
          <w:rtl/>
        </w:rPr>
        <w:t xml:space="preserve">בדבר היעדר נזקקות או מצג של ויתור </w:t>
      </w:r>
      <w:r w:rsidR="005E2103" w:rsidRPr="001B6775">
        <w:rPr>
          <w:rFonts w:ascii="David" w:eastAsia="Times New Roman" w:hAnsi="David" w:cs="David" w:hint="cs"/>
          <w:sz w:val="24"/>
          <w:szCs w:val="24"/>
          <w:rtl/>
        </w:rPr>
        <w:t>אינם חלים שעה שהמשיבה פתחה מבעוד מועד תיק הוצאה לפועל והביעה כוונתה לגבות את חוב המזונו</w:t>
      </w:r>
      <w:r w:rsidR="006B2F95" w:rsidRPr="001B6775">
        <w:rPr>
          <w:rFonts w:ascii="David" w:eastAsia="Times New Roman" w:hAnsi="David" w:cs="David" w:hint="cs"/>
          <w:sz w:val="24"/>
          <w:szCs w:val="24"/>
          <w:rtl/>
        </w:rPr>
        <w:t>ת</w:t>
      </w:r>
      <w:r>
        <w:rPr>
          <w:rFonts w:ascii="David" w:eastAsia="Times New Roman" w:hAnsi="David" w:cs="David" w:hint="cs"/>
          <w:sz w:val="24"/>
          <w:szCs w:val="24"/>
          <w:rtl/>
        </w:rPr>
        <w:t>.</w:t>
      </w:r>
    </w:p>
    <w:p w:rsidR="00A03CA4" w:rsidRPr="006B2F95" w:rsidRDefault="00A03CA4" w:rsidP="00961BD0">
      <w:pPr>
        <w:pStyle w:val="ad"/>
        <w:numPr>
          <w:ilvl w:val="1"/>
          <w:numId w:val="6"/>
        </w:numPr>
        <w:autoSpaceDE w:val="0"/>
        <w:autoSpaceDN w:val="0"/>
        <w:spacing w:line="360" w:lineRule="auto"/>
        <w:jc w:val="both"/>
        <w:rPr>
          <w:rFonts w:ascii="David" w:eastAsia="Times New Roman" w:hAnsi="David" w:cs="David"/>
          <w:sz w:val="24"/>
          <w:szCs w:val="24"/>
          <w:rtl/>
        </w:rPr>
      </w:pPr>
      <w:r w:rsidRPr="006B2F95">
        <w:rPr>
          <w:rFonts w:ascii="David" w:hAnsi="David" w:cs="David"/>
          <w:sz w:val="24"/>
          <w:szCs w:val="24"/>
          <w:rtl/>
        </w:rPr>
        <w:t xml:space="preserve">כך למשל, בתיק שנפתח בשנת 2006 , נסגר בשנת 2010 ונפתח שוב בשנת 2011 הגישה הזוכה </w:t>
      </w:r>
      <w:r w:rsidR="001B6775">
        <w:rPr>
          <w:rFonts w:ascii="David" w:hAnsi="David" w:cs="David" w:hint="cs"/>
          <w:sz w:val="24"/>
          <w:szCs w:val="24"/>
          <w:rtl/>
        </w:rPr>
        <w:t xml:space="preserve">בחודש 5/15 </w:t>
      </w:r>
      <w:r w:rsidRPr="006B2F95">
        <w:rPr>
          <w:rFonts w:ascii="David" w:hAnsi="David" w:cs="David"/>
          <w:sz w:val="24"/>
          <w:szCs w:val="24"/>
          <w:rtl/>
        </w:rPr>
        <w:t xml:space="preserve">בקשה להגדלת חוב בסך </w:t>
      </w:r>
      <w:r w:rsidR="00961BD0">
        <w:rPr>
          <w:rFonts w:ascii="David" w:hAnsi="David" w:cs="David" w:hint="cs"/>
          <w:sz w:val="24"/>
          <w:szCs w:val="24"/>
          <w:rtl/>
        </w:rPr>
        <w:t>של למעלה מ-95,000 ₪</w:t>
      </w:r>
      <w:r w:rsidRPr="006B2F95">
        <w:rPr>
          <w:rFonts w:ascii="David" w:hAnsi="David" w:cs="David"/>
          <w:sz w:val="24"/>
          <w:szCs w:val="24"/>
          <w:rtl/>
        </w:rPr>
        <w:t>, בגין</w:t>
      </w:r>
      <w:r w:rsidRPr="006B2F95">
        <w:rPr>
          <w:rFonts w:ascii="David" w:hAnsi="David" w:cs="David"/>
          <w:sz w:val="24"/>
          <w:szCs w:val="24"/>
        </w:rPr>
        <w:t xml:space="preserve"> </w:t>
      </w:r>
      <w:r w:rsidRPr="006B2F95">
        <w:rPr>
          <w:rFonts w:ascii="David" w:hAnsi="David" w:cs="David"/>
          <w:sz w:val="24"/>
          <w:szCs w:val="24"/>
          <w:rtl/>
        </w:rPr>
        <w:t xml:space="preserve">הוצאות חריגות לשנים 2005-2014. </w:t>
      </w:r>
      <w:r w:rsidR="001B6775">
        <w:rPr>
          <w:rFonts w:ascii="David" w:hAnsi="David" w:cs="David" w:hint="cs"/>
          <w:sz w:val="24"/>
          <w:szCs w:val="24"/>
          <w:rtl/>
        </w:rPr>
        <w:t xml:space="preserve">במסגרת ערעור שהוגש קבע כב' בית המשפט </w:t>
      </w:r>
      <w:r w:rsidRPr="006B2F95">
        <w:rPr>
          <w:rFonts w:ascii="David" w:hAnsi="David" w:cs="David"/>
          <w:sz w:val="24"/>
          <w:szCs w:val="24"/>
          <w:rtl/>
        </w:rPr>
        <w:t>כי:</w:t>
      </w:r>
    </w:p>
    <w:p w:rsidR="00A03CA4" w:rsidRPr="001B6775" w:rsidRDefault="00A03CA4" w:rsidP="001B6775">
      <w:pPr>
        <w:autoSpaceDE w:val="0"/>
        <w:autoSpaceDN w:val="0"/>
        <w:adjustRightInd w:val="0"/>
        <w:spacing w:line="360" w:lineRule="auto"/>
        <w:ind w:left="1440"/>
        <w:rPr>
          <w:rFonts w:ascii="David" w:hAnsi="David"/>
          <w:sz w:val="22"/>
          <w:szCs w:val="22"/>
          <w:rtl/>
        </w:rPr>
      </w:pPr>
      <w:r w:rsidRPr="001B6775">
        <w:rPr>
          <w:rFonts w:ascii="David" w:hAnsi="David"/>
          <w:b/>
          <w:bCs/>
          <w:sz w:val="22"/>
          <w:szCs w:val="22"/>
          <w:rtl/>
        </w:rPr>
        <w:t>"למעלה מן הנדרש יובהר כי מאחר והמערערת הגישה ופתחה את תיק הוצל"פ בחודש אוגוסט 2006, אין צורך בקבלת רשות בית המשפט לפי סעיף 11(ב) לחוק לתיקון דיני מזונות</w:t>
      </w:r>
      <w:r w:rsidR="006B2F95" w:rsidRPr="001B6775">
        <w:rPr>
          <w:rFonts w:ascii="David" w:hAnsi="David" w:hint="cs"/>
          <w:b/>
          <w:bCs/>
          <w:sz w:val="22"/>
          <w:szCs w:val="22"/>
          <w:rtl/>
        </w:rPr>
        <w:t xml:space="preserve"> </w:t>
      </w:r>
      <w:r w:rsidRPr="001B6775">
        <w:rPr>
          <w:rFonts w:ascii="David" w:hAnsi="David"/>
          <w:b/>
          <w:bCs/>
          <w:sz w:val="22"/>
          <w:szCs w:val="22"/>
          <w:rtl/>
        </w:rPr>
        <w:t>לצורך גביית מזונות שוטפים או הוצאות חריגות החל מיום פתיחת התיק</w:t>
      </w:r>
      <w:r w:rsidRPr="001B6775">
        <w:rPr>
          <w:rFonts w:ascii="David" w:hAnsi="David"/>
          <w:sz w:val="22"/>
          <w:szCs w:val="22"/>
          <w:rtl/>
        </w:rPr>
        <w:t>".( תיק ע"ר 57542-12-15 מיום 2.6.16).</w:t>
      </w:r>
    </w:p>
    <w:p w:rsidR="00A03CA4" w:rsidRPr="006B2F95" w:rsidRDefault="00A03CA4" w:rsidP="00ED06DE">
      <w:pPr>
        <w:pStyle w:val="ad"/>
        <w:numPr>
          <w:ilvl w:val="1"/>
          <w:numId w:val="6"/>
        </w:numPr>
        <w:autoSpaceDE w:val="0"/>
        <w:autoSpaceDN w:val="0"/>
        <w:spacing w:line="360" w:lineRule="auto"/>
        <w:jc w:val="both"/>
        <w:rPr>
          <w:rFonts w:ascii="David" w:hAnsi="David" w:cs="David"/>
          <w:sz w:val="24"/>
          <w:szCs w:val="24"/>
          <w:rtl/>
        </w:rPr>
      </w:pPr>
      <w:r w:rsidRPr="006B2F95">
        <w:rPr>
          <w:rFonts w:ascii="David" w:hAnsi="David" w:cs="David"/>
          <w:sz w:val="24"/>
          <w:szCs w:val="24"/>
          <w:rtl/>
        </w:rPr>
        <w:t> החלטה דומה נתנה ב</w:t>
      </w:r>
      <w:r w:rsidR="00ED06DE">
        <w:rPr>
          <w:rFonts w:ascii="David" w:hAnsi="David" w:cs="David" w:hint="cs"/>
          <w:sz w:val="24"/>
          <w:szCs w:val="24"/>
          <w:rtl/>
        </w:rPr>
        <w:t xml:space="preserve">עניין </w:t>
      </w:r>
      <w:r w:rsidRPr="006B2F95">
        <w:rPr>
          <w:rFonts w:ascii="David" w:hAnsi="David" w:cs="David"/>
          <w:sz w:val="24"/>
          <w:szCs w:val="24"/>
          <w:rtl/>
        </w:rPr>
        <w:t>גביית הפרשי ריבית והצמדה בתיק מתנהל, כ</w:t>
      </w:r>
      <w:r w:rsidR="00ED06DE">
        <w:rPr>
          <w:rFonts w:ascii="David" w:hAnsi="David" w:cs="David" w:hint="cs"/>
          <w:sz w:val="24"/>
          <w:szCs w:val="24"/>
          <w:rtl/>
        </w:rPr>
        <w:t>ש</w:t>
      </w:r>
      <w:r w:rsidRPr="006B2F95">
        <w:rPr>
          <w:rFonts w:ascii="David" w:hAnsi="David" w:cs="David"/>
          <w:sz w:val="24"/>
          <w:szCs w:val="24"/>
          <w:rtl/>
        </w:rPr>
        <w:t>המזונות השוטפים שולמו שלא במסגרת התיק</w:t>
      </w:r>
      <w:r w:rsidR="001B6775">
        <w:rPr>
          <w:rFonts w:ascii="David" w:hAnsi="David" w:cs="David" w:hint="cs"/>
          <w:sz w:val="24"/>
          <w:szCs w:val="24"/>
          <w:rtl/>
        </w:rPr>
        <w:t xml:space="preserve"> ראה </w:t>
      </w:r>
      <w:r w:rsidRPr="006B2F95">
        <w:rPr>
          <w:rFonts w:ascii="David" w:hAnsi="David" w:cs="David"/>
          <w:sz w:val="24"/>
          <w:szCs w:val="24"/>
          <w:rtl/>
        </w:rPr>
        <w:t>תיק 51019-03-11 (ניתן ביום 6.2.12</w:t>
      </w:r>
      <w:r w:rsidR="00264A65">
        <w:rPr>
          <w:rFonts w:ascii="David" w:hAnsi="David" w:cs="David" w:hint="cs"/>
          <w:sz w:val="24"/>
          <w:szCs w:val="24"/>
          <w:rtl/>
        </w:rPr>
        <w:t>)</w:t>
      </w:r>
      <w:r w:rsidRPr="006B2F95">
        <w:rPr>
          <w:rFonts w:ascii="David" w:hAnsi="David" w:cs="David"/>
          <w:sz w:val="24"/>
          <w:szCs w:val="24"/>
          <w:rtl/>
        </w:rPr>
        <w:t>:</w:t>
      </w:r>
    </w:p>
    <w:p w:rsidR="00A03CA4" w:rsidRPr="001B6775" w:rsidRDefault="00A03CA4" w:rsidP="001B6775">
      <w:pPr>
        <w:autoSpaceDE w:val="0"/>
        <w:autoSpaceDN w:val="0"/>
        <w:adjustRightInd w:val="0"/>
        <w:spacing w:line="360" w:lineRule="auto"/>
        <w:ind w:left="1440"/>
        <w:jc w:val="both"/>
        <w:rPr>
          <w:rFonts w:ascii="David" w:hAnsi="David"/>
          <w:b/>
          <w:bCs/>
          <w:sz w:val="22"/>
          <w:szCs w:val="22"/>
          <w:rtl/>
        </w:rPr>
      </w:pPr>
      <w:r w:rsidRPr="001B6775">
        <w:rPr>
          <w:rFonts w:ascii="David" w:hAnsi="David"/>
          <w:b/>
          <w:bCs/>
          <w:sz w:val="22"/>
          <w:szCs w:val="22"/>
          <w:rtl/>
        </w:rPr>
        <w:t>"אלא שבמקרה זה הוראות אותו סעיף אינן חלות על מקרה זה, מאחר וההחלטה למזונות זמנים ופסק הדין הוגש לביצוע וכל אשר נטען כי בטעות לא נגבו הפרשי הצמדה. בעניין זה ראו הסייפא להחלטת בית המשפט העליון ברע"א 78/89 דומב שמעון נ' דומב פנינה (ניתן ביום 1.3.89) הקובע בהתייחסו לאותו סעיף כי: "לפי לשונו והגיונו, חל רק על מי שלא נקט בצעדים פורמאליים לגבייתם ולא על מי שפנה ללשכת ההוצאה לפועל ובגלל טעות גבה פחות ממה שמגיע לו".</w:t>
      </w:r>
    </w:p>
    <w:p w:rsidR="000F116A" w:rsidRPr="001C7902" w:rsidRDefault="009C1F9E" w:rsidP="009C1F9E">
      <w:pPr>
        <w:pStyle w:val="ad"/>
        <w:autoSpaceDE w:val="0"/>
        <w:autoSpaceDN w:val="0"/>
        <w:spacing w:line="360" w:lineRule="auto"/>
        <w:ind w:left="1095"/>
        <w:jc w:val="both"/>
        <w:rPr>
          <w:rFonts w:ascii="David" w:hAnsi="David" w:cs="David"/>
          <w:sz w:val="24"/>
          <w:szCs w:val="24"/>
          <w:rtl/>
        </w:rPr>
      </w:pPr>
      <w:r>
        <w:rPr>
          <w:rFonts w:ascii="David" w:hAnsi="David" w:cs="David" w:hint="cs"/>
          <w:sz w:val="24"/>
          <w:szCs w:val="24"/>
          <w:rtl/>
        </w:rPr>
        <w:t>ו</w:t>
      </w:r>
      <w:r w:rsidR="000F116A" w:rsidRPr="001C7902">
        <w:rPr>
          <w:rFonts w:ascii="David" w:hAnsi="David" w:cs="David" w:hint="cs"/>
          <w:sz w:val="24"/>
          <w:szCs w:val="24"/>
          <w:rtl/>
        </w:rPr>
        <w:t xml:space="preserve">ראה </w:t>
      </w:r>
      <w:r w:rsidR="001B6775">
        <w:rPr>
          <w:rFonts w:ascii="David" w:hAnsi="David" w:cs="David" w:hint="cs"/>
          <w:sz w:val="24"/>
          <w:szCs w:val="24"/>
          <w:rtl/>
        </w:rPr>
        <w:t xml:space="preserve">סקירה </w:t>
      </w:r>
      <w:r w:rsidR="000F116A" w:rsidRPr="001C7902">
        <w:rPr>
          <w:rFonts w:ascii="David" w:hAnsi="David" w:cs="David" w:hint="cs"/>
          <w:sz w:val="24"/>
          <w:szCs w:val="24"/>
          <w:rtl/>
        </w:rPr>
        <w:t xml:space="preserve">בעניין זה </w:t>
      </w:r>
      <w:r w:rsidR="001C7902" w:rsidRPr="001C7902">
        <w:rPr>
          <w:rFonts w:ascii="David" w:hAnsi="David" w:cs="David" w:hint="cs"/>
          <w:sz w:val="24"/>
          <w:szCs w:val="24"/>
          <w:rtl/>
        </w:rPr>
        <w:t xml:space="preserve">גם </w:t>
      </w:r>
      <w:r w:rsidR="001B6775">
        <w:rPr>
          <w:rFonts w:ascii="David" w:hAnsi="David" w:cs="David" w:hint="cs"/>
          <w:sz w:val="24"/>
          <w:szCs w:val="24"/>
          <w:rtl/>
        </w:rPr>
        <w:t>ב</w:t>
      </w:r>
      <w:r w:rsidR="001C7902" w:rsidRPr="001C7902">
        <w:rPr>
          <w:rFonts w:ascii="David" w:hAnsi="David" w:cs="David" w:hint="cs"/>
          <w:sz w:val="24"/>
          <w:szCs w:val="24"/>
          <w:rtl/>
        </w:rPr>
        <w:t xml:space="preserve">מאמר שכתבתי עם חברי </w:t>
      </w:r>
      <w:r w:rsidR="001C7902">
        <w:rPr>
          <w:rFonts w:ascii="David" w:hAnsi="David" w:cs="David" w:hint="cs"/>
          <w:sz w:val="24"/>
          <w:szCs w:val="24"/>
          <w:rtl/>
        </w:rPr>
        <w:t xml:space="preserve">כב' </w:t>
      </w:r>
      <w:r w:rsidR="001C7902" w:rsidRPr="001C7902">
        <w:rPr>
          <w:rFonts w:ascii="David" w:hAnsi="David" w:cs="David" w:hint="cs"/>
          <w:sz w:val="24"/>
          <w:szCs w:val="24"/>
          <w:rtl/>
        </w:rPr>
        <w:t xml:space="preserve">השופט רמי נאסר </w:t>
      </w:r>
      <w:r w:rsidR="001C7902">
        <w:rPr>
          <w:rFonts w:ascii="David" w:hAnsi="David" w:cs="David" w:hint="cs"/>
          <w:sz w:val="24"/>
          <w:szCs w:val="24"/>
          <w:rtl/>
        </w:rPr>
        <w:t>"</w:t>
      </w:r>
      <w:r w:rsidR="001C7902" w:rsidRPr="001C7902">
        <w:rPr>
          <w:rFonts w:ascii="David" w:hAnsi="David" w:cs="David" w:hint="cs"/>
          <w:b/>
          <w:bCs/>
          <w:sz w:val="24"/>
          <w:szCs w:val="24"/>
          <w:rtl/>
        </w:rPr>
        <w:t xml:space="preserve">היבטים בגביית חוב מזונות- סעיף 11(ב) לחוק לתיקון דיני משפחה (מזונות) התשי"ט </w:t>
      </w:r>
      <w:r w:rsidR="001C7902" w:rsidRPr="001C7902">
        <w:rPr>
          <w:rFonts w:ascii="David" w:hAnsi="David" w:cs="David"/>
          <w:b/>
          <w:bCs/>
          <w:sz w:val="24"/>
          <w:szCs w:val="24"/>
          <w:rtl/>
        </w:rPr>
        <w:t>–</w:t>
      </w:r>
      <w:r w:rsidR="001C7902" w:rsidRPr="001C7902">
        <w:rPr>
          <w:rFonts w:ascii="David" w:hAnsi="David" w:cs="David" w:hint="cs"/>
          <w:b/>
          <w:bCs/>
          <w:sz w:val="24"/>
          <w:szCs w:val="24"/>
          <w:rtl/>
        </w:rPr>
        <w:t>1959</w:t>
      </w:r>
      <w:r w:rsidR="001C7902">
        <w:rPr>
          <w:rFonts w:ascii="David" w:hAnsi="David" w:cs="David" w:hint="cs"/>
          <w:sz w:val="24"/>
          <w:szCs w:val="24"/>
          <w:rtl/>
        </w:rPr>
        <w:t xml:space="preserve">" (פורסם בנבו </w:t>
      </w:r>
      <w:r w:rsidR="001C7902">
        <w:rPr>
          <w:rFonts w:ascii="David" w:hAnsi="David" w:cs="David"/>
          <w:sz w:val="24"/>
          <w:szCs w:val="24"/>
          <w:rtl/>
        </w:rPr>
        <w:t>–</w:t>
      </w:r>
      <w:r w:rsidR="001C7902">
        <w:rPr>
          <w:rFonts w:ascii="David" w:hAnsi="David" w:cs="David" w:hint="cs"/>
          <w:sz w:val="24"/>
          <w:szCs w:val="24"/>
          <w:rtl/>
        </w:rPr>
        <w:t xml:space="preserve"> 2017).</w:t>
      </w:r>
    </w:p>
    <w:p w:rsidR="002512B5" w:rsidRPr="00C45179" w:rsidRDefault="00264A65" w:rsidP="00005EB0">
      <w:pPr>
        <w:pStyle w:val="ad"/>
        <w:numPr>
          <w:ilvl w:val="1"/>
          <w:numId w:val="6"/>
        </w:numPr>
        <w:autoSpaceDE w:val="0"/>
        <w:autoSpaceDN w:val="0"/>
        <w:spacing w:line="360" w:lineRule="auto"/>
        <w:jc w:val="both"/>
        <w:rPr>
          <w:rFonts w:ascii="David" w:hAnsi="David" w:cs="David"/>
          <w:sz w:val="24"/>
          <w:szCs w:val="24"/>
        </w:rPr>
      </w:pPr>
      <w:r w:rsidRPr="00C45179">
        <w:rPr>
          <w:rFonts w:ascii="David" w:hAnsi="David" w:cs="David" w:hint="cs"/>
          <w:sz w:val="24"/>
          <w:szCs w:val="24"/>
          <w:rtl/>
        </w:rPr>
        <w:lastRenderedPageBreak/>
        <w:t>ב</w:t>
      </w:r>
      <w:r w:rsidR="002B1AB3" w:rsidRPr="00C45179">
        <w:rPr>
          <w:rFonts w:ascii="David" w:hAnsi="David" w:cs="David" w:hint="cs"/>
          <w:sz w:val="24"/>
          <w:szCs w:val="24"/>
          <w:rtl/>
        </w:rPr>
        <w:t xml:space="preserve">שנת </w:t>
      </w:r>
      <w:r w:rsidR="008D070A" w:rsidRPr="00C45179">
        <w:rPr>
          <w:rFonts w:ascii="David" w:hAnsi="David" w:cs="David" w:hint="cs"/>
          <w:sz w:val="24"/>
          <w:szCs w:val="24"/>
          <w:rtl/>
        </w:rPr>
        <w:t xml:space="preserve">2022 הובא הדבר לפתחו של בית המשפט המחוזי. בתיק עמ"ש (מרכז) 6664-03-22 </w:t>
      </w:r>
      <w:r w:rsidR="008D070A" w:rsidRPr="00C45179">
        <w:rPr>
          <w:rFonts w:ascii="David" w:hAnsi="David" w:cs="David" w:hint="cs"/>
          <w:b/>
          <w:bCs/>
          <w:sz w:val="24"/>
          <w:szCs w:val="24"/>
          <w:rtl/>
        </w:rPr>
        <w:t>פלוני נ' פלונית</w:t>
      </w:r>
      <w:r w:rsidR="008D070A" w:rsidRPr="00C45179">
        <w:rPr>
          <w:rFonts w:ascii="David" w:hAnsi="David" w:cs="David" w:hint="cs"/>
          <w:sz w:val="24"/>
          <w:szCs w:val="24"/>
          <w:rtl/>
        </w:rPr>
        <w:t xml:space="preserve"> (ניתן ביום </w:t>
      </w:r>
      <w:r w:rsidR="00E23159" w:rsidRPr="00C45179">
        <w:rPr>
          <w:rFonts w:ascii="David" w:hAnsi="David" w:cs="David" w:hint="cs"/>
          <w:sz w:val="24"/>
          <w:szCs w:val="24"/>
          <w:rtl/>
        </w:rPr>
        <w:t>31.3.23</w:t>
      </w:r>
      <w:r w:rsidR="008D070A" w:rsidRPr="00C45179">
        <w:rPr>
          <w:rFonts w:ascii="David" w:hAnsi="David" w:cs="David" w:hint="cs"/>
          <w:sz w:val="24"/>
          <w:szCs w:val="24"/>
          <w:rtl/>
        </w:rPr>
        <w:t xml:space="preserve">) נדון מקרה בו </w:t>
      </w:r>
      <w:r w:rsidR="008D070A" w:rsidRPr="00C45179">
        <w:rPr>
          <w:rFonts w:ascii="David" w:hAnsi="David" w:cs="David"/>
          <w:sz w:val="24"/>
          <w:szCs w:val="24"/>
          <w:rtl/>
        </w:rPr>
        <w:t xml:space="preserve">פתחה </w:t>
      </w:r>
      <w:r w:rsidR="008D070A" w:rsidRPr="00C45179">
        <w:rPr>
          <w:rFonts w:ascii="David" w:hAnsi="David" w:cs="David" w:hint="cs"/>
          <w:sz w:val="24"/>
          <w:szCs w:val="24"/>
          <w:rtl/>
        </w:rPr>
        <w:t xml:space="preserve">הזוכה </w:t>
      </w:r>
      <w:r w:rsidR="008D070A" w:rsidRPr="00C45179">
        <w:rPr>
          <w:rFonts w:ascii="David" w:hAnsi="David" w:cs="David"/>
          <w:sz w:val="24"/>
          <w:szCs w:val="24"/>
          <w:rtl/>
        </w:rPr>
        <w:t>ב</w:t>
      </w:r>
      <w:r w:rsidR="001B6775" w:rsidRPr="00C45179">
        <w:rPr>
          <w:rFonts w:ascii="David" w:hAnsi="David" w:cs="David" w:hint="cs"/>
          <w:sz w:val="24"/>
          <w:szCs w:val="24"/>
          <w:rtl/>
        </w:rPr>
        <w:t>שנת 2008</w:t>
      </w:r>
      <w:r w:rsidR="008D070A" w:rsidRPr="00C45179">
        <w:rPr>
          <w:rFonts w:ascii="David" w:hAnsi="David" w:cs="David"/>
          <w:sz w:val="24"/>
          <w:szCs w:val="24"/>
          <w:rtl/>
        </w:rPr>
        <w:t xml:space="preserve"> תיק הוצאה לפועל</w:t>
      </w:r>
      <w:r w:rsidR="001B6775" w:rsidRPr="00C45179">
        <w:rPr>
          <w:rFonts w:ascii="David" w:hAnsi="David" w:cs="David" w:hint="cs"/>
          <w:sz w:val="24"/>
          <w:szCs w:val="24"/>
          <w:rtl/>
        </w:rPr>
        <w:t xml:space="preserve">, החוב שולם בסמוך לאחר מכן ותיק ההוצאה לפועל אף </w:t>
      </w:r>
      <w:r w:rsidR="008D070A" w:rsidRPr="00C45179">
        <w:rPr>
          <w:rFonts w:ascii="David" w:hAnsi="David" w:cs="David"/>
          <w:sz w:val="24"/>
          <w:szCs w:val="24"/>
          <w:rtl/>
        </w:rPr>
        <w:t>נסגר מחוסר מעש ב</w:t>
      </w:r>
      <w:r w:rsidR="001B6775" w:rsidRPr="00C45179">
        <w:rPr>
          <w:rFonts w:ascii="David" w:hAnsi="David" w:cs="David" w:hint="cs"/>
          <w:sz w:val="24"/>
          <w:szCs w:val="24"/>
          <w:rtl/>
        </w:rPr>
        <w:t>שנת 2012</w:t>
      </w:r>
      <w:r w:rsidR="008D070A" w:rsidRPr="00C45179">
        <w:rPr>
          <w:rFonts w:ascii="David" w:hAnsi="David" w:cs="David"/>
          <w:sz w:val="24"/>
          <w:szCs w:val="24"/>
          <w:rtl/>
        </w:rPr>
        <w:t>.</w:t>
      </w:r>
      <w:r w:rsidR="008D070A" w:rsidRPr="00C45179">
        <w:rPr>
          <w:rFonts w:ascii="David" w:hAnsi="David" w:cs="David" w:hint="cs"/>
          <w:sz w:val="24"/>
          <w:szCs w:val="24"/>
          <w:rtl/>
        </w:rPr>
        <w:t xml:space="preserve"> </w:t>
      </w:r>
      <w:r w:rsidR="002512B5" w:rsidRPr="00C45179">
        <w:rPr>
          <w:rFonts w:ascii="David" w:hAnsi="David" w:cs="David"/>
          <w:sz w:val="24"/>
          <w:szCs w:val="24"/>
          <w:rtl/>
        </w:rPr>
        <w:t>במהלך חודש יוני 2019  הגישה ה</w:t>
      </w:r>
      <w:r w:rsidR="002512B5" w:rsidRPr="00C45179">
        <w:rPr>
          <w:rFonts w:ascii="David" w:hAnsi="David" w:cs="David" w:hint="cs"/>
          <w:sz w:val="24"/>
          <w:szCs w:val="24"/>
          <w:rtl/>
        </w:rPr>
        <w:t>זוכה</w:t>
      </w:r>
      <w:r w:rsidR="008D070A" w:rsidRPr="00C45179">
        <w:rPr>
          <w:rFonts w:ascii="David" w:hAnsi="David" w:cs="David"/>
          <w:sz w:val="24"/>
          <w:szCs w:val="24"/>
          <w:rtl/>
        </w:rPr>
        <w:t xml:space="preserve"> בקשה להחייאת תיק ההוצאה לפועל כנגד ה</w:t>
      </w:r>
      <w:r w:rsidR="002512B5" w:rsidRPr="00C45179">
        <w:rPr>
          <w:rFonts w:ascii="David" w:hAnsi="David" w:cs="David" w:hint="cs"/>
          <w:sz w:val="24"/>
          <w:szCs w:val="24"/>
          <w:rtl/>
        </w:rPr>
        <w:t>חייב</w:t>
      </w:r>
      <w:r w:rsidR="008D070A" w:rsidRPr="00C45179">
        <w:rPr>
          <w:rFonts w:ascii="David" w:hAnsi="David" w:cs="David"/>
          <w:sz w:val="24"/>
          <w:szCs w:val="24"/>
          <w:rtl/>
        </w:rPr>
        <w:t>, במסגרתו עתרה להגדלת החוב בגין אי תשלום הפרשי מדד לתקופה 10.1.2007 ועד 10.6.2019.</w:t>
      </w:r>
      <w:r w:rsidR="002512B5" w:rsidRPr="00C45179">
        <w:rPr>
          <w:rFonts w:ascii="David" w:hAnsi="David" w:cs="David" w:hint="cs"/>
          <w:sz w:val="24"/>
          <w:szCs w:val="24"/>
          <w:rtl/>
        </w:rPr>
        <w:t>בית המשפט המחוזי הנכבד קבע בעניין זה כי</w:t>
      </w:r>
      <w:r w:rsidR="002512B5" w:rsidRPr="00C45179">
        <w:rPr>
          <w:rFonts w:ascii="David" w:hAnsi="David" w:cs="David"/>
          <w:sz w:val="24"/>
          <w:szCs w:val="24"/>
        </w:rPr>
        <w:t>:</w:t>
      </w:r>
    </w:p>
    <w:p w:rsidR="002512B5" w:rsidRPr="00C45179" w:rsidRDefault="002512B5" w:rsidP="00C45179">
      <w:pPr>
        <w:autoSpaceDE w:val="0"/>
        <w:autoSpaceDN w:val="0"/>
        <w:adjustRightInd w:val="0"/>
        <w:spacing w:line="360" w:lineRule="auto"/>
        <w:ind w:left="1440"/>
        <w:jc w:val="both"/>
        <w:rPr>
          <w:rFonts w:ascii="David" w:hAnsi="David"/>
          <w:b/>
          <w:bCs/>
          <w:sz w:val="22"/>
          <w:szCs w:val="22"/>
          <w:rtl/>
        </w:rPr>
      </w:pPr>
      <w:r w:rsidRPr="00C45179">
        <w:rPr>
          <w:rFonts w:ascii="David" w:hAnsi="David" w:hint="cs"/>
          <w:b/>
          <w:bCs/>
          <w:sz w:val="22"/>
          <w:szCs w:val="22"/>
          <w:rtl/>
        </w:rPr>
        <w:t>"</w:t>
      </w:r>
      <w:r w:rsidRPr="00C45179">
        <w:rPr>
          <w:rFonts w:ascii="David" w:hAnsi="David"/>
          <w:b/>
          <w:bCs/>
          <w:sz w:val="22"/>
          <w:szCs w:val="22"/>
          <w:rtl/>
        </w:rPr>
        <w:t xml:space="preserve">ואולם ספק רב האם יתרת המזונות שנותרה לתשלום היינו הפרשי ההצמדה למדד עליהם התחייב המערער בהסכם הגירושין הן אכן בגדר "מזונות שלא התחילו לפעול לגבייתם" כלשונו של </w:t>
      </w:r>
      <w:hyperlink r:id="rId12" w:history="1">
        <w:r w:rsidRPr="00C45179">
          <w:rPr>
            <w:rFonts w:ascii="David" w:hAnsi="David"/>
            <w:b/>
            <w:bCs/>
            <w:sz w:val="22"/>
            <w:szCs w:val="22"/>
            <w:rtl/>
          </w:rPr>
          <w:t>סע' 11 (ב)</w:t>
        </w:r>
      </w:hyperlink>
      <w:r w:rsidRPr="00C45179">
        <w:rPr>
          <w:rFonts w:ascii="David" w:hAnsi="David"/>
          <w:b/>
          <w:bCs/>
          <w:sz w:val="22"/>
          <w:szCs w:val="22"/>
          <w:rtl/>
        </w:rPr>
        <w:t xml:space="preserve">  לחוק המזונות.  ככלות הכול עסקינן במזונות שהוחל בגבייתם, אלא שזו לא הושלמה עד תום. בנסיבות אלו ניתן לצדד בקביעת בית משפט קמא בקביעתו כי למעשה אף אין צורך באישור בית המשפט לצורך גבייתם, שכן אין הדברים באים בגדרו של </w:t>
      </w:r>
      <w:hyperlink r:id="rId13" w:history="1">
        <w:r w:rsidRPr="00C45179">
          <w:rPr>
            <w:rFonts w:ascii="David" w:hAnsi="David"/>
            <w:b/>
            <w:bCs/>
            <w:sz w:val="22"/>
            <w:szCs w:val="22"/>
            <w:rtl/>
          </w:rPr>
          <w:t xml:space="preserve">סע' 11 (ב) </w:t>
        </w:r>
      </w:hyperlink>
      <w:r w:rsidRPr="00C45179">
        <w:rPr>
          <w:rFonts w:ascii="David" w:hAnsi="David"/>
          <w:b/>
          <w:bCs/>
          <w:sz w:val="22"/>
          <w:szCs w:val="22"/>
          <w:rtl/>
        </w:rPr>
        <w:t xml:space="preserve">  לחוק המזונות</w:t>
      </w:r>
      <w:r w:rsidR="00380146" w:rsidRPr="00C45179">
        <w:rPr>
          <w:rFonts w:ascii="David" w:hAnsi="David" w:hint="cs"/>
          <w:b/>
          <w:bCs/>
          <w:sz w:val="22"/>
          <w:szCs w:val="22"/>
          <w:rtl/>
        </w:rPr>
        <w:t>"</w:t>
      </w:r>
      <w:r w:rsidRPr="00C45179">
        <w:rPr>
          <w:rFonts w:ascii="David" w:hAnsi="David"/>
          <w:b/>
          <w:bCs/>
          <w:sz w:val="22"/>
          <w:szCs w:val="22"/>
          <w:rtl/>
        </w:rPr>
        <w:t xml:space="preserve">.  </w:t>
      </w:r>
    </w:p>
    <w:p w:rsidR="00EE77BD" w:rsidRPr="00961BD0" w:rsidRDefault="00380146" w:rsidP="00961BD0">
      <w:pPr>
        <w:pStyle w:val="ad"/>
        <w:numPr>
          <w:ilvl w:val="1"/>
          <w:numId w:val="6"/>
        </w:numPr>
        <w:autoSpaceDE w:val="0"/>
        <w:autoSpaceDN w:val="0"/>
        <w:spacing w:line="360" w:lineRule="auto"/>
        <w:jc w:val="both"/>
        <w:rPr>
          <w:rFonts w:ascii="David" w:hAnsi="David" w:cs="David"/>
          <w:sz w:val="24"/>
          <w:szCs w:val="24"/>
        </w:rPr>
      </w:pPr>
      <w:r>
        <w:rPr>
          <w:rFonts w:ascii="David" w:hAnsi="David" w:cs="David" w:hint="cs"/>
          <w:sz w:val="24"/>
          <w:szCs w:val="24"/>
          <w:rtl/>
        </w:rPr>
        <w:t xml:space="preserve">סבורני כי הדברים יפים מקל וחומר בענייננו, שעה שהמערער לא הואיל לפרוע </w:t>
      </w:r>
      <w:r w:rsidR="00B54B16">
        <w:rPr>
          <w:rFonts w:ascii="David" w:hAnsi="David" w:cs="David" w:hint="cs"/>
          <w:sz w:val="24"/>
          <w:szCs w:val="24"/>
          <w:rtl/>
        </w:rPr>
        <w:t xml:space="preserve">אף </w:t>
      </w:r>
      <w:r>
        <w:rPr>
          <w:rFonts w:ascii="David" w:hAnsi="David" w:cs="David" w:hint="cs"/>
          <w:sz w:val="24"/>
          <w:szCs w:val="24"/>
          <w:rtl/>
        </w:rPr>
        <w:t>את חוב המזונות הקיים בתיק ההוצאה לפועל בגין מזונות שוטפים, שכאמור עמד ערב הגדלת החוב על סך של למעלה מ-48,000 ₪</w:t>
      </w:r>
      <w:r w:rsidR="00961BD0">
        <w:rPr>
          <w:rFonts w:ascii="David" w:hAnsi="David" w:cs="David" w:hint="cs"/>
          <w:sz w:val="24"/>
          <w:szCs w:val="24"/>
          <w:rtl/>
        </w:rPr>
        <w:t xml:space="preserve"> (להלן: "</w:t>
      </w:r>
      <w:r w:rsidR="00961BD0">
        <w:rPr>
          <w:rFonts w:ascii="David" w:hAnsi="David" w:cs="David" w:hint="cs"/>
          <w:b/>
          <w:bCs/>
          <w:sz w:val="24"/>
          <w:szCs w:val="24"/>
          <w:rtl/>
        </w:rPr>
        <w:t>חוב העבר</w:t>
      </w:r>
      <w:r w:rsidR="00961BD0">
        <w:rPr>
          <w:rFonts w:ascii="David" w:hAnsi="David" w:cs="David" w:hint="cs"/>
          <w:sz w:val="24"/>
          <w:szCs w:val="24"/>
          <w:rtl/>
        </w:rPr>
        <w:t>")</w:t>
      </w:r>
      <w:r w:rsidRPr="00380146">
        <w:rPr>
          <w:rFonts w:ascii="David" w:hAnsi="David" w:cs="David" w:hint="cs"/>
          <w:sz w:val="24"/>
          <w:szCs w:val="24"/>
          <w:rtl/>
        </w:rPr>
        <w:t xml:space="preserve">. </w:t>
      </w:r>
      <w:r w:rsidR="00961BD0">
        <w:rPr>
          <w:rFonts w:ascii="David" w:hAnsi="David" w:cs="David" w:hint="cs"/>
          <w:sz w:val="24"/>
          <w:szCs w:val="24"/>
          <w:rtl/>
        </w:rPr>
        <w:t xml:space="preserve">כלל ידוע הוא כי </w:t>
      </w:r>
      <w:r w:rsidR="00EE77BD" w:rsidRPr="00961BD0">
        <w:rPr>
          <w:rFonts w:ascii="David" w:hAnsi="David" w:cs="David"/>
          <w:sz w:val="24"/>
          <w:szCs w:val="24"/>
          <w:rtl/>
        </w:rPr>
        <w:t>על המבקש לקבל סעד מבית המשפט, לנהל את ענייניו בתום לב</w:t>
      </w:r>
      <w:r w:rsidR="00EE77BD" w:rsidRPr="00961BD0">
        <w:rPr>
          <w:rFonts w:ascii="David" w:hAnsi="David" w:cs="David" w:hint="cs"/>
          <w:sz w:val="24"/>
          <w:szCs w:val="24"/>
          <w:rtl/>
        </w:rPr>
        <w:t xml:space="preserve"> וכי </w:t>
      </w:r>
      <w:r w:rsidR="00EE77BD" w:rsidRPr="00961BD0">
        <w:rPr>
          <w:rFonts w:ascii="David" w:hAnsi="David" w:cs="David"/>
          <w:sz w:val="24"/>
          <w:szCs w:val="24"/>
          <w:rtl/>
        </w:rPr>
        <w:t>התנהגות שלא בתום-לב של בעל-דין עלולה לחסום אותו, על דרך של מניעות, מלהעלות טענה</w:t>
      </w:r>
      <w:r w:rsidR="00EE77BD" w:rsidRPr="00961BD0">
        <w:rPr>
          <w:rFonts w:ascii="David" w:hAnsi="David" w:cs="David" w:hint="cs"/>
          <w:sz w:val="24"/>
          <w:szCs w:val="24"/>
          <w:rtl/>
        </w:rPr>
        <w:t xml:space="preserve"> (</w:t>
      </w:r>
      <w:r w:rsidR="00EE77BD" w:rsidRPr="00961BD0">
        <w:rPr>
          <w:rFonts w:ascii="David" w:hAnsi="David" w:cs="David"/>
          <w:sz w:val="24"/>
          <w:szCs w:val="24"/>
          <w:rtl/>
        </w:rPr>
        <w:t xml:space="preserve">רע"א 11183/02 </w:t>
      </w:r>
      <w:r w:rsidR="00EE77BD" w:rsidRPr="00961BD0">
        <w:rPr>
          <w:rFonts w:ascii="David" w:hAnsi="David" w:cs="David"/>
          <w:b/>
          <w:bCs/>
          <w:sz w:val="24"/>
          <w:szCs w:val="24"/>
          <w:rtl/>
        </w:rPr>
        <w:t>כלפה נ</w:t>
      </w:r>
      <w:r w:rsidR="00EE77BD" w:rsidRPr="00961BD0">
        <w:rPr>
          <w:rFonts w:ascii="David" w:hAnsi="David" w:cs="David" w:hint="cs"/>
          <w:b/>
          <w:bCs/>
          <w:sz w:val="24"/>
          <w:szCs w:val="24"/>
          <w:rtl/>
        </w:rPr>
        <w:t>'</w:t>
      </w:r>
      <w:r w:rsidR="00EE77BD" w:rsidRPr="00961BD0">
        <w:rPr>
          <w:rFonts w:ascii="David" w:hAnsi="David" w:cs="David"/>
          <w:b/>
          <w:bCs/>
          <w:sz w:val="24"/>
          <w:szCs w:val="24"/>
          <w:rtl/>
        </w:rPr>
        <w:t xml:space="preserve"> זהבי</w:t>
      </w:r>
      <w:r w:rsidR="00EE77BD" w:rsidRPr="00961BD0">
        <w:rPr>
          <w:rFonts w:ascii="David" w:hAnsi="David" w:cs="David"/>
          <w:sz w:val="24"/>
          <w:szCs w:val="24"/>
          <w:rtl/>
        </w:rPr>
        <w:t>, פד"י נח(3) 49, 52</w:t>
      </w:r>
      <w:r w:rsidR="00EE77BD" w:rsidRPr="00961BD0">
        <w:rPr>
          <w:rFonts w:ascii="David" w:hAnsi="David" w:cs="David" w:hint="cs"/>
          <w:sz w:val="24"/>
          <w:szCs w:val="24"/>
          <w:rtl/>
        </w:rPr>
        <w:t xml:space="preserve"> וכן </w:t>
      </w:r>
      <w:r w:rsidR="00EE77BD" w:rsidRPr="00961BD0">
        <w:rPr>
          <w:rFonts w:ascii="David" w:hAnsi="David" w:cs="David"/>
          <w:sz w:val="24"/>
          <w:szCs w:val="24"/>
          <w:rtl/>
        </w:rPr>
        <w:t>שורץ</w:t>
      </w:r>
      <w:r w:rsidR="00B54B16" w:rsidRPr="00961BD0">
        <w:rPr>
          <w:rFonts w:ascii="David" w:hAnsi="David" w:cs="David" w:hint="cs"/>
          <w:sz w:val="24"/>
          <w:szCs w:val="24"/>
          <w:rtl/>
        </w:rPr>
        <w:t xml:space="preserve"> </w:t>
      </w:r>
      <w:r w:rsidR="00EE77BD" w:rsidRPr="00961BD0">
        <w:rPr>
          <w:rFonts w:ascii="David" w:hAnsi="David" w:cs="David"/>
          <w:sz w:val="24"/>
          <w:szCs w:val="24"/>
          <w:rtl/>
        </w:rPr>
        <w:t xml:space="preserve">"תחולתו של עקרון תום-הלב בסדר-הדין האזרחי" </w:t>
      </w:r>
      <w:r w:rsidR="00EE77BD" w:rsidRPr="00961BD0">
        <w:rPr>
          <w:rFonts w:ascii="David" w:hAnsi="David" w:cs="David"/>
          <w:b/>
          <w:bCs/>
          <w:sz w:val="24"/>
          <w:szCs w:val="24"/>
          <w:rtl/>
        </w:rPr>
        <w:t>עיוני משפט</w:t>
      </w:r>
      <w:r w:rsidR="00EE77BD" w:rsidRPr="00961BD0">
        <w:rPr>
          <w:rFonts w:ascii="David" w:hAnsi="David" w:cs="David"/>
          <w:sz w:val="24"/>
          <w:szCs w:val="24"/>
          <w:rtl/>
        </w:rPr>
        <w:t xml:space="preserve"> כא (תשנ"ח) 295, בעמ" 328)</w:t>
      </w:r>
      <w:r w:rsidR="00EE77BD" w:rsidRPr="00961BD0">
        <w:rPr>
          <w:rFonts w:ascii="David" w:hAnsi="David" w:cs="David" w:hint="cs"/>
          <w:sz w:val="24"/>
          <w:szCs w:val="24"/>
          <w:rtl/>
        </w:rPr>
        <w:t>).</w:t>
      </w:r>
      <w:r w:rsidR="007E3DE2">
        <w:rPr>
          <w:rFonts w:ascii="David" w:hAnsi="David" w:cs="David" w:hint="cs"/>
          <w:sz w:val="24"/>
          <w:szCs w:val="24"/>
          <w:rtl/>
        </w:rPr>
        <w:t xml:space="preserve"> </w:t>
      </w:r>
      <w:r w:rsidR="007E3DE2" w:rsidRPr="00380146">
        <w:rPr>
          <w:rFonts w:ascii="David" w:hAnsi="David" w:cs="David" w:hint="cs"/>
          <w:sz w:val="24"/>
          <w:szCs w:val="24"/>
          <w:rtl/>
        </w:rPr>
        <w:t xml:space="preserve">דרישת </w:t>
      </w:r>
      <w:r w:rsidR="007E3DE2">
        <w:rPr>
          <w:rFonts w:ascii="David" w:hAnsi="David" w:cs="David" w:hint="cs"/>
          <w:sz w:val="24"/>
          <w:szCs w:val="24"/>
          <w:rtl/>
        </w:rPr>
        <w:t>המערער להאיץ במשיבה</w:t>
      </w:r>
      <w:r w:rsidR="009C1F9E">
        <w:rPr>
          <w:rFonts w:ascii="David" w:hAnsi="David" w:cs="David" w:hint="cs"/>
          <w:sz w:val="24"/>
          <w:szCs w:val="24"/>
          <w:rtl/>
        </w:rPr>
        <w:t>, שלשולחנה סמוכים 3 ילדים וטוענת למצב כלכלי קשה,</w:t>
      </w:r>
      <w:r w:rsidR="007E3DE2">
        <w:rPr>
          <w:rFonts w:ascii="David" w:hAnsi="David" w:cs="David" w:hint="cs"/>
          <w:sz w:val="24"/>
          <w:szCs w:val="24"/>
          <w:rtl/>
        </w:rPr>
        <w:t xml:space="preserve"> להגיש בקשה להגדלת חוב בגין חובות נוספים שצבר, שעה שאינה מצליחה לגבות ממנו גם את חוב העבר הקיים בתיק ההוצאה לפועל- מהווה לטעמי טענה חסרת תום לב ואין מקום לטעון אותה בנסיבות העניין.</w:t>
      </w:r>
      <w:r w:rsidR="009C1F9E">
        <w:rPr>
          <w:rFonts w:ascii="David" w:hAnsi="David" w:cs="David" w:hint="cs"/>
          <w:sz w:val="24"/>
          <w:szCs w:val="24"/>
          <w:rtl/>
        </w:rPr>
        <w:t xml:space="preserve"> </w:t>
      </w:r>
    </w:p>
    <w:p w:rsidR="00D74C9D" w:rsidRDefault="00723554" w:rsidP="00E23159">
      <w:pPr>
        <w:pStyle w:val="ad"/>
        <w:numPr>
          <w:ilvl w:val="1"/>
          <w:numId w:val="6"/>
        </w:numPr>
        <w:autoSpaceDE w:val="0"/>
        <w:autoSpaceDN w:val="0"/>
        <w:spacing w:line="360" w:lineRule="auto"/>
        <w:jc w:val="both"/>
        <w:rPr>
          <w:rFonts w:ascii="David" w:hAnsi="David" w:cs="David"/>
          <w:sz w:val="24"/>
          <w:szCs w:val="24"/>
        </w:rPr>
      </w:pPr>
      <w:r>
        <w:rPr>
          <w:rFonts w:ascii="David" w:hAnsi="David" w:cs="David" w:hint="cs"/>
          <w:sz w:val="24"/>
          <w:szCs w:val="24"/>
          <w:rtl/>
        </w:rPr>
        <w:t>כאן המקום לציין כי המשיבה, בהגינותה, לא תבעה ריבית פיגורים (או ריבית בכלל) בגין התקופה בה לא גבתה את החוב בתקופת השירות הצבאי של הבן, ובקשה</w:t>
      </w:r>
      <w:r w:rsidR="009C1F9E">
        <w:rPr>
          <w:rFonts w:ascii="David" w:hAnsi="David" w:cs="David" w:hint="cs"/>
          <w:sz w:val="24"/>
          <w:szCs w:val="24"/>
          <w:rtl/>
        </w:rPr>
        <w:t xml:space="preserve"> להגדיל החוב בצירוף הצמדה בלבד </w:t>
      </w:r>
      <w:r>
        <w:rPr>
          <w:rFonts w:ascii="David" w:hAnsi="David" w:cs="David" w:hint="cs"/>
          <w:sz w:val="24"/>
          <w:szCs w:val="24"/>
          <w:rtl/>
        </w:rPr>
        <w:t xml:space="preserve">החוב </w:t>
      </w:r>
      <w:r w:rsidR="009C1F9E">
        <w:rPr>
          <w:rFonts w:ascii="David" w:hAnsi="David" w:cs="David" w:hint="cs"/>
          <w:sz w:val="24"/>
          <w:szCs w:val="24"/>
          <w:rtl/>
        </w:rPr>
        <w:t xml:space="preserve">אף </w:t>
      </w:r>
      <w:r>
        <w:rPr>
          <w:rFonts w:ascii="David" w:hAnsi="David" w:cs="David" w:hint="cs"/>
          <w:sz w:val="24"/>
          <w:szCs w:val="24"/>
          <w:rtl/>
        </w:rPr>
        <w:t>הוגדל נכון למועד הגשת הבקשה להגדלת חוב בלבד. כך שלמשיב לא נגרם כל נזק של ממש בגין השיהוי הנטען בהגדלת החוב (ודומה שהוא אף יצא נשכר ממנו</w:t>
      </w:r>
      <w:r w:rsidR="00D74C9D">
        <w:rPr>
          <w:rFonts w:ascii="David" w:hAnsi="David" w:cs="David" w:hint="cs"/>
          <w:sz w:val="24"/>
          <w:szCs w:val="24"/>
          <w:rtl/>
        </w:rPr>
        <w:t>).</w:t>
      </w:r>
    </w:p>
    <w:p w:rsidR="00723554" w:rsidRPr="003A5618" w:rsidRDefault="00723554" w:rsidP="00B54B16">
      <w:pPr>
        <w:pStyle w:val="ad"/>
        <w:numPr>
          <w:ilvl w:val="1"/>
          <w:numId w:val="6"/>
        </w:numPr>
        <w:autoSpaceDE w:val="0"/>
        <w:autoSpaceDN w:val="0"/>
        <w:spacing w:line="360" w:lineRule="auto"/>
        <w:jc w:val="both"/>
        <w:rPr>
          <w:rFonts w:ascii="David" w:hAnsi="David" w:cs="David"/>
          <w:sz w:val="24"/>
          <w:szCs w:val="24"/>
        </w:rPr>
      </w:pPr>
      <w:r>
        <w:rPr>
          <w:rFonts w:ascii="David" w:hAnsi="David" w:cs="David" w:hint="cs"/>
          <w:sz w:val="24"/>
          <w:szCs w:val="24"/>
          <w:rtl/>
        </w:rPr>
        <w:t xml:space="preserve">אף </w:t>
      </w:r>
      <w:r w:rsidRPr="003A5618">
        <w:rPr>
          <w:rFonts w:ascii="David" w:hAnsi="David" w:cs="David"/>
          <w:sz w:val="24"/>
          <w:szCs w:val="24"/>
          <w:rtl/>
        </w:rPr>
        <w:t xml:space="preserve">טענת המערער, שנטענה רק בסיכומים, לפיה נשללה ממנו </w:t>
      </w:r>
      <w:r w:rsidR="009C1F9E">
        <w:rPr>
          <w:rFonts w:ascii="David" w:hAnsi="David" w:cs="David" w:hint="cs"/>
          <w:sz w:val="24"/>
          <w:szCs w:val="24"/>
          <w:rtl/>
        </w:rPr>
        <w:t>"</w:t>
      </w:r>
      <w:r w:rsidRPr="003A5618">
        <w:rPr>
          <w:rFonts w:ascii="David" w:hAnsi="David" w:cs="David"/>
          <w:sz w:val="24"/>
          <w:szCs w:val="24"/>
          <w:rtl/>
        </w:rPr>
        <w:t>הזכות לסתור את חזקת הנזקקות של הבן</w:t>
      </w:r>
      <w:r w:rsidR="009C1F9E">
        <w:rPr>
          <w:rFonts w:ascii="David" w:hAnsi="David" w:cs="David" w:hint="cs"/>
          <w:sz w:val="24"/>
          <w:szCs w:val="24"/>
          <w:rtl/>
        </w:rPr>
        <w:t>"</w:t>
      </w:r>
      <w:r w:rsidRPr="003A5618">
        <w:rPr>
          <w:rFonts w:ascii="David" w:hAnsi="David" w:cs="David"/>
          <w:sz w:val="24"/>
          <w:szCs w:val="24"/>
          <w:rtl/>
        </w:rPr>
        <w:t>- אין בה ממש. פסק הדין בעניינם של הצדדים ניתן ביום 18.9.17, כש</w:t>
      </w:r>
      <w:r w:rsidR="00CA3DE2" w:rsidRPr="003A5618">
        <w:rPr>
          <w:rFonts w:ascii="David" w:hAnsi="David" w:cs="David"/>
          <w:sz w:val="24"/>
          <w:szCs w:val="24"/>
          <w:rtl/>
        </w:rPr>
        <w:t xml:space="preserve">נה בלבד טרם גיוס הבן לצבא. </w:t>
      </w:r>
      <w:r w:rsidR="003A5618" w:rsidRPr="003A5618">
        <w:rPr>
          <w:rFonts w:ascii="David" w:hAnsi="David" w:cs="David"/>
          <w:sz w:val="24"/>
          <w:szCs w:val="24"/>
          <w:rtl/>
        </w:rPr>
        <w:t xml:space="preserve">המשיבה תבעה את </w:t>
      </w:r>
      <w:r w:rsidR="000875C2">
        <w:rPr>
          <w:rFonts w:ascii="David" w:hAnsi="David" w:cs="David" w:hint="cs"/>
          <w:sz w:val="24"/>
          <w:szCs w:val="24"/>
          <w:rtl/>
        </w:rPr>
        <w:t xml:space="preserve">החוב בגין </w:t>
      </w:r>
      <w:r w:rsidR="003A5618" w:rsidRPr="003A5618">
        <w:rPr>
          <w:rFonts w:ascii="David" w:hAnsi="David" w:cs="David"/>
          <w:sz w:val="24"/>
          <w:szCs w:val="24"/>
          <w:rtl/>
        </w:rPr>
        <w:t xml:space="preserve">מזונות הבן הבגיר </w:t>
      </w:r>
      <w:r w:rsidR="003A5618">
        <w:rPr>
          <w:rFonts w:ascii="David" w:hAnsi="David" w:cs="David" w:hint="cs"/>
          <w:sz w:val="24"/>
          <w:szCs w:val="24"/>
          <w:rtl/>
        </w:rPr>
        <w:t xml:space="preserve">בתקופת שירותו הצבאי </w:t>
      </w:r>
      <w:r w:rsidR="003A5618" w:rsidRPr="003A5618">
        <w:rPr>
          <w:rFonts w:ascii="David" w:hAnsi="David" w:cs="David"/>
          <w:sz w:val="24"/>
          <w:szCs w:val="24"/>
          <w:rtl/>
        </w:rPr>
        <w:t xml:space="preserve">מכח פסק הדין שניתן לטובתה (ראה לעניין זכות האם לתבוע מזונות הבן הבגיר </w:t>
      </w:r>
      <w:r w:rsidR="00B54B16">
        <w:rPr>
          <w:rFonts w:ascii="David" w:hAnsi="David" w:cs="David" w:hint="cs"/>
          <w:sz w:val="24"/>
          <w:szCs w:val="24"/>
          <w:rtl/>
        </w:rPr>
        <w:t>בתקופת שירותו הצבאי</w:t>
      </w:r>
      <w:r w:rsidR="003A5618" w:rsidRPr="003A5618">
        <w:rPr>
          <w:rFonts w:ascii="David" w:hAnsi="David" w:cs="David"/>
          <w:sz w:val="24"/>
          <w:szCs w:val="24"/>
          <w:rtl/>
        </w:rPr>
        <w:t xml:space="preserve"> ב</w:t>
      </w:r>
      <w:r w:rsidR="003A5618" w:rsidRPr="003A5618">
        <w:rPr>
          <w:rFonts w:ascii="David" w:eastAsia="Times New Roman" w:hAnsi="David" w:cs="David"/>
          <w:sz w:val="24"/>
          <w:szCs w:val="24"/>
          <w:rtl/>
        </w:rPr>
        <w:t>בע</w:t>
      </w:r>
      <w:r w:rsidR="003A5618">
        <w:rPr>
          <w:rFonts w:ascii="David" w:eastAsia="Times New Roman" w:hAnsi="David" w:cs="David" w:hint="cs"/>
          <w:sz w:val="24"/>
          <w:szCs w:val="24"/>
          <w:rtl/>
        </w:rPr>
        <w:t>"</w:t>
      </w:r>
      <w:r w:rsidR="003A5618" w:rsidRPr="003A5618">
        <w:rPr>
          <w:rFonts w:ascii="David" w:eastAsia="Times New Roman" w:hAnsi="David" w:cs="David"/>
          <w:sz w:val="24"/>
          <w:szCs w:val="24"/>
          <w:rtl/>
        </w:rPr>
        <w:t xml:space="preserve">מ </w:t>
      </w:r>
      <w:r w:rsidR="003A5618" w:rsidRPr="003A5618">
        <w:rPr>
          <w:rFonts w:ascii="David" w:eastAsia="Times New Roman" w:hAnsi="David" w:cs="David"/>
          <w:sz w:val="24"/>
          <w:szCs w:val="24"/>
        </w:rPr>
        <w:t xml:space="preserve">5267/04 </w:t>
      </w:r>
      <w:r w:rsidR="003A5618" w:rsidRPr="003A5618">
        <w:rPr>
          <w:rFonts w:ascii="David" w:eastAsia="Times New Roman" w:hAnsi="David" w:cs="David"/>
          <w:sz w:val="24"/>
          <w:szCs w:val="24"/>
          <w:rtl/>
        </w:rPr>
        <w:t xml:space="preserve"> </w:t>
      </w:r>
      <w:r w:rsidR="003A5618" w:rsidRPr="003A5618">
        <w:rPr>
          <w:rFonts w:ascii="David" w:eastAsia="Times New Roman" w:hAnsi="David" w:cs="David"/>
          <w:b/>
          <w:bCs/>
          <w:sz w:val="24"/>
          <w:szCs w:val="24"/>
          <w:rtl/>
        </w:rPr>
        <w:t>סוניס נ</w:t>
      </w:r>
      <w:r w:rsidR="003A5618" w:rsidRPr="003A5618">
        <w:rPr>
          <w:rFonts w:ascii="David" w:eastAsia="Times New Roman" w:hAnsi="David" w:cs="David"/>
          <w:b/>
          <w:bCs/>
          <w:sz w:val="24"/>
          <w:szCs w:val="24"/>
        </w:rPr>
        <w:t xml:space="preserve">' </w:t>
      </w:r>
      <w:r w:rsidR="003A5618" w:rsidRPr="003A5618">
        <w:rPr>
          <w:rFonts w:ascii="David" w:eastAsia="Times New Roman" w:hAnsi="David" w:cs="David"/>
          <w:b/>
          <w:bCs/>
          <w:sz w:val="24"/>
          <w:szCs w:val="24"/>
          <w:rtl/>
        </w:rPr>
        <w:t>סוניס</w:t>
      </w:r>
      <w:r w:rsidR="003A5618" w:rsidRPr="003A5618">
        <w:rPr>
          <w:rFonts w:ascii="David" w:eastAsia="Times New Roman" w:hAnsi="David" w:cs="David"/>
          <w:sz w:val="24"/>
          <w:szCs w:val="24"/>
          <w:rtl/>
        </w:rPr>
        <w:t xml:space="preserve"> (ניתן ביום 5.5.05)</w:t>
      </w:r>
      <w:r w:rsidR="003A5618">
        <w:rPr>
          <w:rFonts w:ascii="David" w:hAnsi="David" w:cs="David" w:hint="cs"/>
          <w:sz w:val="24"/>
          <w:szCs w:val="24"/>
          <w:rtl/>
        </w:rPr>
        <w:t xml:space="preserve">, וכן בע"א 4480/93 </w:t>
      </w:r>
      <w:r w:rsidR="003A5618">
        <w:rPr>
          <w:rFonts w:ascii="David" w:hAnsi="David" w:cs="David" w:hint="cs"/>
          <w:b/>
          <w:bCs/>
          <w:sz w:val="24"/>
          <w:szCs w:val="24"/>
          <w:rtl/>
        </w:rPr>
        <w:t xml:space="preserve">פלוני נ' פלונית </w:t>
      </w:r>
      <w:r w:rsidR="003A5618">
        <w:rPr>
          <w:rFonts w:ascii="David" w:hAnsi="David" w:cs="David" w:hint="cs"/>
          <w:sz w:val="24"/>
          <w:szCs w:val="24"/>
          <w:rtl/>
        </w:rPr>
        <w:t>פד"י מח(3) 461).</w:t>
      </w:r>
      <w:r w:rsidR="00B54B16">
        <w:rPr>
          <w:rFonts w:ascii="David" w:hAnsi="David" w:cs="David" w:hint="cs"/>
          <w:sz w:val="24"/>
          <w:szCs w:val="24"/>
          <w:rtl/>
        </w:rPr>
        <w:t xml:space="preserve"> כאמור,</w:t>
      </w:r>
      <w:r w:rsidR="003A5618">
        <w:rPr>
          <w:rFonts w:ascii="David" w:hAnsi="David" w:cs="David" w:hint="cs"/>
          <w:sz w:val="24"/>
          <w:szCs w:val="24"/>
          <w:rtl/>
        </w:rPr>
        <w:t xml:space="preserve"> </w:t>
      </w:r>
      <w:r w:rsidR="00CA3DE2" w:rsidRPr="003A5618">
        <w:rPr>
          <w:rFonts w:ascii="David" w:hAnsi="David" w:cs="David" w:hint="cs"/>
          <w:sz w:val="24"/>
          <w:szCs w:val="24"/>
          <w:rtl/>
        </w:rPr>
        <w:t xml:space="preserve">מדובר בפסק </w:t>
      </w:r>
      <w:r w:rsidR="00CA3DE2" w:rsidRPr="003A5618">
        <w:rPr>
          <w:rFonts w:ascii="David" w:hAnsi="David" w:cs="David" w:hint="cs"/>
          <w:sz w:val="24"/>
          <w:szCs w:val="24"/>
          <w:rtl/>
        </w:rPr>
        <w:lastRenderedPageBreak/>
        <w:t>דין חלוט ואין למ</w:t>
      </w:r>
      <w:r w:rsidR="003A5618">
        <w:rPr>
          <w:rFonts w:ascii="David" w:hAnsi="David" w:cs="David" w:hint="cs"/>
          <w:sz w:val="24"/>
          <w:szCs w:val="24"/>
          <w:rtl/>
        </w:rPr>
        <w:t xml:space="preserve">ערער </w:t>
      </w:r>
      <w:r w:rsidR="00CA3DE2" w:rsidRPr="003A5618">
        <w:rPr>
          <w:rFonts w:ascii="David" w:hAnsi="David" w:cs="David" w:hint="cs"/>
          <w:sz w:val="24"/>
          <w:szCs w:val="24"/>
          <w:rtl/>
        </w:rPr>
        <w:t xml:space="preserve">זכות </w:t>
      </w:r>
      <w:r w:rsidR="000875C2">
        <w:rPr>
          <w:rFonts w:ascii="David" w:hAnsi="David" w:cs="David" w:hint="cs"/>
          <w:sz w:val="24"/>
          <w:szCs w:val="24"/>
          <w:rtl/>
        </w:rPr>
        <w:t xml:space="preserve">שבדין לסתור את </w:t>
      </w:r>
      <w:r w:rsidR="00CA3DE2" w:rsidRPr="003A5618">
        <w:rPr>
          <w:rFonts w:ascii="David" w:hAnsi="David" w:cs="David" w:hint="cs"/>
          <w:sz w:val="24"/>
          <w:szCs w:val="24"/>
          <w:rtl/>
        </w:rPr>
        <w:t>"חזקת נזקקות" הבן בתקופת השירות הצבאי</w:t>
      </w:r>
      <w:r w:rsidR="003A5618">
        <w:rPr>
          <w:rFonts w:ascii="David" w:hAnsi="David" w:cs="David" w:hint="cs"/>
          <w:sz w:val="24"/>
          <w:szCs w:val="24"/>
          <w:rtl/>
        </w:rPr>
        <w:t xml:space="preserve"> (שכבר נקבעה בפסק הדין</w:t>
      </w:r>
      <w:r w:rsidR="00B54B16">
        <w:rPr>
          <w:rFonts w:ascii="David" w:hAnsi="David" w:cs="David" w:hint="cs"/>
          <w:sz w:val="24"/>
          <w:szCs w:val="24"/>
          <w:rtl/>
        </w:rPr>
        <w:t>)</w:t>
      </w:r>
      <w:r w:rsidR="00CA3DE2" w:rsidRPr="003A5618">
        <w:rPr>
          <w:rFonts w:ascii="David" w:hAnsi="David" w:cs="David" w:hint="cs"/>
          <w:sz w:val="24"/>
          <w:szCs w:val="24"/>
          <w:rtl/>
        </w:rPr>
        <w:t xml:space="preserve">- לא לפני רשם ההוצאה לפועל ולא בבית המשפט, בכל הליך שאינו הליך לביטול פסק דין/ערעור. </w:t>
      </w:r>
      <w:r w:rsidR="009A43E9" w:rsidRPr="003A5618">
        <w:rPr>
          <w:rFonts w:ascii="David" w:hAnsi="David" w:cs="David" w:hint="cs"/>
          <w:sz w:val="24"/>
          <w:szCs w:val="24"/>
          <w:rtl/>
        </w:rPr>
        <w:t xml:space="preserve">הליך כאמור לא הוגש. </w:t>
      </w:r>
      <w:r w:rsidR="00CA3DE2" w:rsidRPr="003A5618">
        <w:rPr>
          <w:rFonts w:ascii="David" w:hAnsi="David" w:cs="David" w:hint="cs"/>
          <w:sz w:val="24"/>
          <w:szCs w:val="24"/>
          <w:rtl/>
        </w:rPr>
        <w:t xml:space="preserve">אף בערכאה זו הטענה כאמור נטענה בסיכומי המערער בלבד, ללא בדל של פירוט או נימוק, ושעה שהמשיבה הגישה אסמכתא על מועדי הגיוס של הבן. </w:t>
      </w:r>
    </w:p>
    <w:p w:rsidR="005A71FC" w:rsidRDefault="000F116A" w:rsidP="00B54B16">
      <w:pPr>
        <w:pStyle w:val="ad"/>
        <w:numPr>
          <w:ilvl w:val="1"/>
          <w:numId w:val="6"/>
        </w:numPr>
        <w:autoSpaceDE w:val="0"/>
        <w:autoSpaceDN w:val="0"/>
        <w:spacing w:line="360" w:lineRule="auto"/>
        <w:jc w:val="both"/>
        <w:rPr>
          <w:rFonts w:ascii="David" w:hAnsi="David" w:cs="David"/>
          <w:sz w:val="24"/>
          <w:szCs w:val="24"/>
        </w:rPr>
      </w:pPr>
      <w:r w:rsidRPr="00E23159">
        <w:rPr>
          <w:rFonts w:ascii="David" w:hAnsi="David" w:cs="David" w:hint="cs"/>
          <w:sz w:val="24"/>
          <w:szCs w:val="24"/>
          <w:rtl/>
        </w:rPr>
        <w:t xml:space="preserve">לסיכום, המשיבה עמדה על זכויותיה ופתחה תיק כנגד המערער בהוצל"פ ואף פעלה במסגרתו לגביית החוב. בקשת המשיבה להגדלת החוב הוגשה לאחר פתיחת התיק והנה רלוונטית לתקופת התיק. בנסיבות, </w:t>
      </w:r>
      <w:r w:rsidR="00D74C9D">
        <w:rPr>
          <w:rFonts w:ascii="David" w:hAnsi="David" w:cs="David" w:hint="cs"/>
          <w:sz w:val="24"/>
          <w:szCs w:val="24"/>
          <w:rtl/>
        </w:rPr>
        <w:t>ב</w:t>
      </w:r>
      <w:r w:rsidR="005A71FC">
        <w:rPr>
          <w:rFonts w:ascii="David" w:hAnsi="David" w:cs="David" w:hint="cs"/>
          <w:sz w:val="24"/>
          <w:szCs w:val="24"/>
          <w:rtl/>
        </w:rPr>
        <w:t>התאם</w:t>
      </w:r>
      <w:r w:rsidRPr="00E23159">
        <w:rPr>
          <w:rFonts w:ascii="David" w:hAnsi="David" w:cs="David" w:hint="cs"/>
          <w:sz w:val="24"/>
          <w:szCs w:val="24"/>
          <w:rtl/>
        </w:rPr>
        <w:t xml:space="preserve"> לפסיקה הנוהגת לא נדרש אישור להגדלת החוב מבית המשפט</w:t>
      </w:r>
      <w:r w:rsidR="00D74C9D">
        <w:rPr>
          <w:rFonts w:ascii="David" w:hAnsi="David" w:cs="David" w:hint="cs"/>
          <w:sz w:val="24"/>
          <w:szCs w:val="24"/>
          <w:rtl/>
        </w:rPr>
        <w:t xml:space="preserve"> מכח חוק המזונות</w:t>
      </w:r>
      <w:r w:rsidR="005A71FC">
        <w:rPr>
          <w:rFonts w:ascii="David" w:hAnsi="David" w:cs="David" w:hint="cs"/>
          <w:sz w:val="24"/>
          <w:szCs w:val="24"/>
          <w:rtl/>
        </w:rPr>
        <w:t>.</w:t>
      </w:r>
    </w:p>
    <w:p w:rsidR="000F116A" w:rsidRDefault="000875C2" w:rsidP="000875C2">
      <w:pPr>
        <w:pStyle w:val="ad"/>
        <w:numPr>
          <w:ilvl w:val="1"/>
          <w:numId w:val="6"/>
        </w:numPr>
        <w:autoSpaceDE w:val="0"/>
        <w:autoSpaceDN w:val="0"/>
        <w:spacing w:line="360" w:lineRule="auto"/>
        <w:jc w:val="both"/>
        <w:rPr>
          <w:rFonts w:ascii="David" w:hAnsi="David" w:cs="David"/>
          <w:sz w:val="24"/>
          <w:szCs w:val="24"/>
        </w:rPr>
      </w:pPr>
      <w:r>
        <w:rPr>
          <w:rFonts w:ascii="David" w:hAnsi="David" w:cs="David" w:hint="cs"/>
          <w:sz w:val="24"/>
          <w:szCs w:val="24"/>
          <w:rtl/>
        </w:rPr>
        <w:t xml:space="preserve">למעלה מן הצורך יוער כי </w:t>
      </w:r>
      <w:r w:rsidR="005A71FC">
        <w:rPr>
          <w:rFonts w:ascii="David" w:hAnsi="David" w:cs="David" w:hint="cs"/>
          <w:sz w:val="24"/>
          <w:szCs w:val="24"/>
          <w:rtl/>
        </w:rPr>
        <w:t xml:space="preserve">גם אם נדרש היה לקבל אישור לגביית החוב מבית המשפט- הרי שיש מקום לתיתו. התרשמתי כי בנסיבות העניין לא ניתן לטעון בכל דרך כי </w:t>
      </w:r>
      <w:r w:rsidR="000F116A" w:rsidRPr="00E23159">
        <w:rPr>
          <w:rFonts w:ascii="David" w:hAnsi="David" w:cs="David" w:hint="cs"/>
          <w:sz w:val="24"/>
          <w:szCs w:val="24"/>
          <w:rtl/>
        </w:rPr>
        <w:t xml:space="preserve">התנהלות המשיבה מעלה או יכולה להעלות ניחוח של מחילה </w:t>
      </w:r>
      <w:r w:rsidR="000F116A">
        <w:rPr>
          <w:rFonts w:ascii="David" w:hAnsi="David" w:cs="David" w:hint="cs"/>
          <w:sz w:val="24"/>
          <w:szCs w:val="24"/>
          <w:rtl/>
        </w:rPr>
        <w:t>או מצג שווא או ל</w:t>
      </w:r>
      <w:r w:rsidR="005A71FC">
        <w:rPr>
          <w:rFonts w:ascii="David" w:hAnsi="David" w:cs="David" w:hint="cs"/>
          <w:sz w:val="24"/>
          <w:szCs w:val="24"/>
          <w:rtl/>
        </w:rPr>
        <w:t xml:space="preserve">העיד על </w:t>
      </w:r>
      <w:r w:rsidR="000F116A">
        <w:rPr>
          <w:rFonts w:ascii="David" w:hAnsi="David" w:cs="David" w:hint="cs"/>
          <w:sz w:val="24"/>
          <w:szCs w:val="24"/>
          <w:rtl/>
        </w:rPr>
        <w:t>היעדר נזקקות</w:t>
      </w:r>
      <w:r w:rsidR="005A71FC">
        <w:rPr>
          <w:rFonts w:ascii="David" w:hAnsi="David" w:cs="David" w:hint="cs"/>
          <w:sz w:val="24"/>
          <w:szCs w:val="24"/>
          <w:rtl/>
        </w:rPr>
        <w:t>, שיכולים להוות עילה שלא ליתן אישור גבייה כאמור.</w:t>
      </w:r>
      <w:r w:rsidR="00E17540">
        <w:rPr>
          <w:rFonts w:ascii="David" w:hAnsi="David" w:cs="David" w:hint="cs"/>
          <w:sz w:val="24"/>
          <w:szCs w:val="24"/>
          <w:rtl/>
        </w:rPr>
        <w:t xml:space="preserve"> מנגד, המערער לא נתן כל טעם </w:t>
      </w:r>
      <w:r w:rsidR="00C81514">
        <w:rPr>
          <w:rFonts w:ascii="David" w:hAnsi="David" w:cs="David" w:hint="cs"/>
          <w:sz w:val="24"/>
          <w:szCs w:val="24"/>
          <w:rtl/>
        </w:rPr>
        <w:t xml:space="preserve">מהותי </w:t>
      </w:r>
      <w:r w:rsidR="00E17540">
        <w:rPr>
          <w:rFonts w:ascii="David" w:hAnsi="David" w:cs="David" w:hint="cs"/>
          <w:sz w:val="24"/>
          <w:szCs w:val="24"/>
          <w:rtl/>
        </w:rPr>
        <w:t xml:space="preserve">מדוע </w:t>
      </w:r>
      <w:r w:rsidR="00C81514">
        <w:rPr>
          <w:rFonts w:ascii="David" w:hAnsi="David" w:cs="David" w:hint="cs"/>
          <w:sz w:val="24"/>
          <w:szCs w:val="24"/>
          <w:rtl/>
        </w:rPr>
        <w:t>לא נשא או יישא במזונות הבן מכח פסק הדין החלוט כנגדו</w:t>
      </w:r>
      <w:r w:rsidR="005A71FC">
        <w:rPr>
          <w:rFonts w:ascii="David" w:hAnsi="David" w:cs="David" w:hint="cs"/>
          <w:sz w:val="24"/>
          <w:szCs w:val="24"/>
          <w:rtl/>
        </w:rPr>
        <w:t xml:space="preserve"> </w:t>
      </w:r>
      <w:r w:rsidR="000F116A">
        <w:rPr>
          <w:rFonts w:ascii="David" w:hAnsi="David" w:cs="David" w:hint="cs"/>
          <w:sz w:val="24"/>
          <w:szCs w:val="24"/>
          <w:rtl/>
        </w:rPr>
        <w:t>(</w:t>
      </w:r>
      <w:r w:rsidR="005A71FC">
        <w:rPr>
          <w:rFonts w:ascii="David" w:hAnsi="David" w:cs="David" w:hint="cs"/>
          <w:sz w:val="24"/>
          <w:szCs w:val="24"/>
          <w:rtl/>
        </w:rPr>
        <w:t xml:space="preserve">לעניין </w:t>
      </w:r>
      <w:r w:rsidR="00C06EE0">
        <w:rPr>
          <w:rFonts w:ascii="David" w:hAnsi="David" w:cs="David" w:hint="cs"/>
          <w:sz w:val="24"/>
          <w:szCs w:val="24"/>
          <w:rtl/>
        </w:rPr>
        <w:t>שיקול הדעת הנרחב שיש לשופט במתן האישור כאמור ראה ב</w:t>
      </w:r>
      <w:r w:rsidR="00C06EE0" w:rsidRPr="008D070A">
        <w:rPr>
          <w:rFonts w:ascii="David" w:hAnsi="David" w:cs="David" w:hint="cs"/>
          <w:sz w:val="24"/>
          <w:szCs w:val="24"/>
          <w:rtl/>
        </w:rPr>
        <w:t xml:space="preserve">עמ"ש (מרכז) 6664-03-22 </w:t>
      </w:r>
      <w:r w:rsidR="00C06EE0" w:rsidRPr="008D070A">
        <w:rPr>
          <w:rFonts w:ascii="David" w:hAnsi="David" w:cs="David" w:hint="cs"/>
          <w:b/>
          <w:bCs/>
          <w:sz w:val="24"/>
          <w:szCs w:val="24"/>
          <w:rtl/>
        </w:rPr>
        <w:t>פלוני נ' פלונית</w:t>
      </w:r>
      <w:r w:rsidR="00C06EE0" w:rsidRPr="008D070A">
        <w:rPr>
          <w:rFonts w:ascii="David" w:hAnsi="David" w:cs="David" w:hint="cs"/>
          <w:sz w:val="24"/>
          <w:szCs w:val="24"/>
          <w:rtl/>
        </w:rPr>
        <w:t xml:space="preserve"> (ניתן ביום </w:t>
      </w:r>
      <w:r w:rsidR="00C06EE0">
        <w:rPr>
          <w:rFonts w:ascii="David" w:hAnsi="David" w:cs="David" w:hint="cs"/>
          <w:sz w:val="24"/>
          <w:szCs w:val="24"/>
          <w:rtl/>
        </w:rPr>
        <w:t>31.3.23</w:t>
      </w:r>
      <w:r w:rsidR="00C06EE0" w:rsidRPr="008D070A">
        <w:rPr>
          <w:rFonts w:ascii="David" w:hAnsi="David" w:cs="David" w:hint="cs"/>
          <w:sz w:val="24"/>
          <w:szCs w:val="24"/>
          <w:rtl/>
        </w:rPr>
        <w:t>)</w:t>
      </w:r>
      <w:r w:rsidR="00C06EE0">
        <w:rPr>
          <w:rFonts w:ascii="David" w:hAnsi="David" w:cs="David" w:hint="cs"/>
          <w:sz w:val="24"/>
          <w:szCs w:val="24"/>
          <w:rtl/>
        </w:rPr>
        <w:t>).</w:t>
      </w:r>
    </w:p>
    <w:p w:rsidR="000875C2" w:rsidRDefault="000875C2" w:rsidP="000875C2">
      <w:pPr>
        <w:numPr>
          <w:ilvl w:val="0"/>
          <w:numId w:val="1"/>
        </w:numPr>
        <w:spacing w:line="360" w:lineRule="auto"/>
        <w:ind w:left="283"/>
        <w:jc w:val="both"/>
        <w:rPr>
          <w:rFonts w:ascii="David" w:hAnsi="David"/>
        </w:rPr>
      </w:pPr>
      <w:r>
        <w:rPr>
          <w:rFonts w:ascii="David" w:hAnsi="David" w:hint="cs"/>
          <w:rtl/>
        </w:rPr>
        <w:t xml:space="preserve">סוף דבר- הערעור על החלטת כב' </w:t>
      </w:r>
      <w:r w:rsidR="005A71FC">
        <w:rPr>
          <w:rFonts w:ascii="David" w:hAnsi="David" w:hint="cs"/>
          <w:rtl/>
        </w:rPr>
        <w:t xml:space="preserve">הרשם שפר מיום בדבר 7.6.23 </w:t>
      </w:r>
      <w:r>
        <w:rPr>
          <w:rFonts w:ascii="David" w:hAnsi="David" w:hint="cs"/>
          <w:rtl/>
        </w:rPr>
        <w:t>נדחה.</w:t>
      </w:r>
    </w:p>
    <w:p w:rsidR="000875C2" w:rsidRDefault="000875C2" w:rsidP="000875C2">
      <w:pPr>
        <w:spacing w:line="360" w:lineRule="auto"/>
        <w:ind w:left="283"/>
        <w:jc w:val="both"/>
        <w:rPr>
          <w:rFonts w:ascii="David" w:hAnsi="David"/>
        </w:rPr>
      </w:pPr>
    </w:p>
    <w:p w:rsidR="00D37A49" w:rsidRDefault="00870209" w:rsidP="00EB79FB">
      <w:pPr>
        <w:pStyle w:val="ad"/>
        <w:numPr>
          <w:ilvl w:val="0"/>
          <w:numId w:val="11"/>
        </w:numPr>
        <w:spacing w:line="360" w:lineRule="auto"/>
        <w:jc w:val="both"/>
        <w:rPr>
          <w:rFonts w:ascii="David" w:hAnsi="David"/>
          <w:b/>
          <w:bCs/>
          <w:u w:val="single"/>
          <w:rtl/>
        </w:rPr>
      </w:pPr>
      <w:r>
        <w:rPr>
          <w:rFonts w:ascii="David" w:hAnsi="David" w:hint="cs"/>
          <w:b/>
          <w:bCs/>
          <w:u w:val="single"/>
          <w:rtl/>
        </w:rPr>
        <w:t>החלטה מיום 15.6.23- דחיית הבקשה לפריסת חוב</w:t>
      </w:r>
    </w:p>
    <w:p w:rsidR="002E679F" w:rsidRPr="002E679F" w:rsidRDefault="002E679F" w:rsidP="002E679F">
      <w:pPr>
        <w:numPr>
          <w:ilvl w:val="0"/>
          <w:numId w:val="1"/>
        </w:numPr>
        <w:spacing w:line="360" w:lineRule="auto"/>
        <w:ind w:left="283"/>
        <w:jc w:val="both"/>
        <w:rPr>
          <w:rFonts w:ascii="David" w:hAnsi="David"/>
        </w:rPr>
      </w:pPr>
      <w:r>
        <w:rPr>
          <w:rFonts w:ascii="David" w:hAnsi="David" w:hint="cs"/>
          <w:b/>
          <w:bCs/>
          <w:rtl/>
        </w:rPr>
        <w:t>תמצית טענות המערער:</w:t>
      </w:r>
    </w:p>
    <w:p w:rsidR="002E679F" w:rsidRPr="00F34953" w:rsidRDefault="002E679F" w:rsidP="00F34953">
      <w:pPr>
        <w:pStyle w:val="ad"/>
        <w:numPr>
          <w:ilvl w:val="0"/>
          <w:numId w:val="4"/>
        </w:numPr>
        <w:spacing w:line="360" w:lineRule="auto"/>
        <w:jc w:val="both"/>
        <w:rPr>
          <w:rFonts w:ascii="David" w:hAnsi="David" w:cs="David"/>
          <w:sz w:val="24"/>
          <w:szCs w:val="24"/>
        </w:rPr>
      </w:pPr>
      <w:r w:rsidRPr="002E679F">
        <w:rPr>
          <w:rFonts w:ascii="David" w:hAnsi="David" w:cs="David" w:hint="cs"/>
          <w:sz w:val="24"/>
          <w:szCs w:val="24"/>
          <w:rtl/>
        </w:rPr>
        <w:t>נגרם ל</w:t>
      </w:r>
      <w:r>
        <w:rPr>
          <w:rFonts w:ascii="David" w:hAnsi="David" w:cs="David" w:hint="cs"/>
          <w:sz w:val="24"/>
          <w:szCs w:val="24"/>
          <w:rtl/>
        </w:rPr>
        <w:t>מערער, שהנו אדם בן 60 הסובל מבעיות רפואיות,</w:t>
      </w:r>
      <w:r w:rsidR="00E81737" w:rsidRPr="002E679F">
        <w:rPr>
          <w:rFonts w:ascii="David" w:hAnsi="David" w:cs="David"/>
          <w:sz w:val="24"/>
          <w:szCs w:val="24"/>
          <w:rtl/>
        </w:rPr>
        <w:t xml:space="preserve"> עוול</w:t>
      </w:r>
      <w:r w:rsidRPr="002E679F">
        <w:rPr>
          <w:rFonts w:ascii="David" w:hAnsi="David" w:cs="David" w:hint="cs"/>
          <w:sz w:val="24"/>
          <w:szCs w:val="24"/>
          <w:rtl/>
        </w:rPr>
        <w:t xml:space="preserve"> עת סירב כב' הרשם לפרוס את החוב כל עוד לא החל המערער לעבוד בפועל. </w:t>
      </w:r>
      <w:r>
        <w:rPr>
          <w:rFonts w:ascii="David" w:hAnsi="David" w:cs="David" w:hint="cs"/>
          <w:sz w:val="24"/>
          <w:szCs w:val="24"/>
          <w:rtl/>
        </w:rPr>
        <w:t>נטען כי מעסיקים מסרבים להעסיק עובדים שכנגדם קיימים צו</w:t>
      </w:r>
      <w:r w:rsidR="00F34953">
        <w:rPr>
          <w:rFonts w:ascii="David" w:hAnsi="David" w:cs="David" w:hint="cs"/>
          <w:sz w:val="24"/>
          <w:szCs w:val="24"/>
          <w:rtl/>
        </w:rPr>
        <w:t>ו</w:t>
      </w:r>
      <w:r>
        <w:rPr>
          <w:rFonts w:ascii="David" w:hAnsi="David" w:cs="David" w:hint="cs"/>
          <w:sz w:val="24"/>
          <w:szCs w:val="24"/>
          <w:rtl/>
        </w:rPr>
        <w:t xml:space="preserve">י עיקול (שכן הדבר מצריך מהם התעסקות רבה) ובעצם הותרת ההליכים על כנם עקב אי פריסת החוב בתיק, </w:t>
      </w:r>
      <w:r w:rsidR="00CE73AB">
        <w:rPr>
          <w:rFonts w:ascii="David" w:hAnsi="David" w:cs="David" w:hint="cs"/>
          <w:sz w:val="24"/>
          <w:szCs w:val="24"/>
          <w:rtl/>
        </w:rPr>
        <w:t xml:space="preserve">נמנע מהמערער להתקבל למקום עבודה שהנו תנאי לביטול ההליכים. </w:t>
      </w:r>
      <w:r w:rsidR="00CE73AB" w:rsidRPr="00F34953">
        <w:rPr>
          <w:rFonts w:ascii="David" w:hAnsi="David" w:cs="David" w:hint="cs"/>
          <w:sz w:val="24"/>
          <w:szCs w:val="24"/>
          <w:rtl/>
        </w:rPr>
        <w:t>בה בעת נטען כי המערער אינו יכול לעבוד ואינו עובד משך שנים רבות גם בשל מצבו הבריאותי, אולם הצליח להגיע להסדרים בתיקים אחרים ו</w:t>
      </w:r>
      <w:r w:rsidR="00820DD9" w:rsidRPr="00F34953">
        <w:rPr>
          <w:rFonts w:ascii="David" w:hAnsi="David" w:cs="David" w:hint="cs"/>
          <w:sz w:val="24"/>
          <w:szCs w:val="24"/>
          <w:rtl/>
        </w:rPr>
        <w:t xml:space="preserve">כעת </w:t>
      </w:r>
      <w:r w:rsidR="00CE73AB" w:rsidRPr="00F34953">
        <w:rPr>
          <w:rFonts w:ascii="David" w:hAnsi="David" w:cs="David" w:hint="cs"/>
          <w:sz w:val="24"/>
          <w:szCs w:val="24"/>
          <w:rtl/>
        </w:rPr>
        <w:t xml:space="preserve">גם </w:t>
      </w:r>
      <w:r w:rsidR="00820DD9" w:rsidRPr="00F34953">
        <w:rPr>
          <w:rFonts w:ascii="David" w:hAnsi="David" w:cs="David" w:hint="cs"/>
          <w:sz w:val="24"/>
          <w:szCs w:val="24"/>
          <w:rtl/>
        </w:rPr>
        <w:t>הסדרים אלו מצויים בסכנ</w:t>
      </w:r>
      <w:r w:rsidR="00CE73AB" w:rsidRPr="00F34953">
        <w:rPr>
          <w:rFonts w:ascii="David" w:hAnsi="David" w:cs="David" w:hint="cs"/>
          <w:sz w:val="24"/>
          <w:szCs w:val="24"/>
          <w:rtl/>
        </w:rPr>
        <w:t xml:space="preserve">ה לאור הליכים הננקטים בתיק דנן. </w:t>
      </w:r>
    </w:p>
    <w:p w:rsidR="00E81737" w:rsidRPr="00CE73AB" w:rsidRDefault="00E81737" w:rsidP="00CE73AB">
      <w:pPr>
        <w:pStyle w:val="ad"/>
        <w:numPr>
          <w:ilvl w:val="0"/>
          <w:numId w:val="4"/>
        </w:numPr>
        <w:spacing w:line="360" w:lineRule="auto"/>
        <w:jc w:val="both"/>
        <w:rPr>
          <w:rFonts w:ascii="David" w:hAnsi="David" w:cs="David"/>
          <w:sz w:val="24"/>
          <w:szCs w:val="24"/>
        </w:rPr>
      </w:pPr>
      <w:r w:rsidRPr="00CE73AB">
        <w:rPr>
          <w:rFonts w:ascii="David" w:hAnsi="David" w:cs="David"/>
          <w:sz w:val="24"/>
          <w:szCs w:val="24"/>
          <w:rtl/>
        </w:rPr>
        <w:t>המערער ביקש להורות על פריסת ח</w:t>
      </w:r>
      <w:r w:rsidR="00820DD9">
        <w:rPr>
          <w:rFonts w:ascii="David" w:hAnsi="David" w:cs="David"/>
          <w:sz w:val="24"/>
          <w:szCs w:val="24"/>
          <w:rtl/>
        </w:rPr>
        <w:t>וב העבר לתשלומים בסך 500 ₪ לצור</w:t>
      </w:r>
      <w:r w:rsidR="00820DD9">
        <w:rPr>
          <w:rFonts w:ascii="David" w:hAnsi="David" w:cs="David" w:hint="cs"/>
          <w:sz w:val="24"/>
          <w:szCs w:val="24"/>
          <w:rtl/>
        </w:rPr>
        <w:t>ך</w:t>
      </w:r>
      <w:r w:rsidRPr="00CE73AB">
        <w:rPr>
          <w:rFonts w:ascii="David" w:hAnsi="David" w:cs="David"/>
          <w:sz w:val="24"/>
          <w:szCs w:val="24"/>
          <w:rtl/>
        </w:rPr>
        <w:t xml:space="preserve"> שיקום חייו ותשלומי החובות.</w:t>
      </w:r>
    </w:p>
    <w:p w:rsidR="00E81737" w:rsidRDefault="00CE73AB" w:rsidP="00E81737">
      <w:pPr>
        <w:numPr>
          <w:ilvl w:val="0"/>
          <w:numId w:val="1"/>
        </w:numPr>
        <w:spacing w:line="360" w:lineRule="auto"/>
        <w:ind w:left="283"/>
        <w:jc w:val="both"/>
        <w:rPr>
          <w:rFonts w:ascii="David" w:hAnsi="David"/>
        </w:rPr>
      </w:pPr>
      <w:r>
        <w:rPr>
          <w:rFonts w:ascii="David" w:hAnsi="David" w:hint="cs"/>
          <w:b/>
          <w:bCs/>
          <w:rtl/>
        </w:rPr>
        <w:t xml:space="preserve">תמצית טענות המשיבה- </w:t>
      </w:r>
    </w:p>
    <w:p w:rsidR="00CE73AB" w:rsidRDefault="00E81737" w:rsidP="00CE73AB">
      <w:pPr>
        <w:pStyle w:val="ad"/>
        <w:numPr>
          <w:ilvl w:val="0"/>
          <w:numId w:val="4"/>
        </w:numPr>
        <w:spacing w:line="360" w:lineRule="auto"/>
        <w:jc w:val="both"/>
        <w:rPr>
          <w:rFonts w:ascii="David" w:hAnsi="David" w:cs="David"/>
          <w:sz w:val="24"/>
          <w:szCs w:val="24"/>
        </w:rPr>
      </w:pPr>
      <w:r w:rsidRPr="00CE73AB">
        <w:rPr>
          <w:rFonts w:ascii="David" w:hAnsi="David" w:cs="David"/>
          <w:sz w:val="24"/>
          <w:szCs w:val="24"/>
          <w:rtl/>
        </w:rPr>
        <w:t>המערער לא המציא מסמכים מהותיים הנוגעים להכנסותיו מכל מקור שהוא</w:t>
      </w:r>
      <w:r w:rsidR="00CE73AB">
        <w:rPr>
          <w:rFonts w:ascii="David" w:hAnsi="David" w:cs="David" w:hint="cs"/>
          <w:sz w:val="24"/>
          <w:szCs w:val="24"/>
          <w:rtl/>
        </w:rPr>
        <w:t>, כמתחייב על פי דין,</w:t>
      </w:r>
      <w:r w:rsidRPr="00CE73AB">
        <w:rPr>
          <w:rFonts w:ascii="David" w:hAnsi="David" w:cs="David"/>
          <w:sz w:val="24"/>
          <w:szCs w:val="24"/>
          <w:rtl/>
        </w:rPr>
        <w:t xml:space="preserve"> דבר אשר מנע מהרשם להתחקות אחר התנהלותו הכלכלית של המערער</w:t>
      </w:r>
      <w:r w:rsidR="00CE73AB">
        <w:rPr>
          <w:rFonts w:ascii="David" w:hAnsi="David" w:cs="David" w:hint="cs"/>
          <w:sz w:val="24"/>
          <w:szCs w:val="24"/>
          <w:rtl/>
        </w:rPr>
        <w:t>.</w:t>
      </w:r>
    </w:p>
    <w:p w:rsidR="00E81737" w:rsidRDefault="00E81737" w:rsidP="00CE73AB">
      <w:pPr>
        <w:pStyle w:val="ad"/>
        <w:numPr>
          <w:ilvl w:val="0"/>
          <w:numId w:val="4"/>
        </w:numPr>
        <w:spacing w:line="360" w:lineRule="auto"/>
        <w:jc w:val="both"/>
        <w:rPr>
          <w:rFonts w:ascii="David" w:hAnsi="David" w:cs="David"/>
          <w:sz w:val="24"/>
          <w:szCs w:val="24"/>
        </w:rPr>
      </w:pPr>
      <w:r w:rsidRPr="00CE73AB">
        <w:rPr>
          <w:rFonts w:ascii="David" w:hAnsi="David" w:cs="David"/>
          <w:sz w:val="24"/>
          <w:szCs w:val="24"/>
          <w:rtl/>
        </w:rPr>
        <w:lastRenderedPageBreak/>
        <w:t xml:space="preserve">המערער נמנע  </w:t>
      </w:r>
      <w:r w:rsidR="00CE73AB">
        <w:rPr>
          <w:rFonts w:ascii="David" w:hAnsi="David" w:cs="David" w:hint="cs"/>
          <w:sz w:val="24"/>
          <w:szCs w:val="24"/>
          <w:rtl/>
        </w:rPr>
        <w:t xml:space="preserve">מאז ומעולם </w:t>
      </w:r>
      <w:r w:rsidRPr="00CE73AB">
        <w:rPr>
          <w:rFonts w:ascii="David" w:hAnsi="David" w:cs="David"/>
          <w:sz w:val="24"/>
          <w:szCs w:val="24"/>
          <w:rtl/>
        </w:rPr>
        <w:t xml:space="preserve">מלשלם את דמי המזונות, לא הוכיח תשלומים שוטפים של החיוב במזונות ומתחמק מתשלום חובותיו. </w:t>
      </w:r>
    </w:p>
    <w:p w:rsidR="007E3DE2" w:rsidRDefault="00BE6848" w:rsidP="00BE6848">
      <w:pPr>
        <w:pStyle w:val="ad"/>
        <w:numPr>
          <w:ilvl w:val="0"/>
          <w:numId w:val="4"/>
        </w:numPr>
        <w:spacing w:line="360" w:lineRule="auto"/>
        <w:jc w:val="both"/>
        <w:rPr>
          <w:rFonts w:ascii="David" w:hAnsi="David" w:cs="David"/>
          <w:sz w:val="24"/>
          <w:szCs w:val="24"/>
        </w:rPr>
      </w:pPr>
      <w:r>
        <w:rPr>
          <w:rFonts w:ascii="David" w:hAnsi="David" w:cs="David" w:hint="cs"/>
          <w:sz w:val="24"/>
          <w:szCs w:val="24"/>
          <w:rtl/>
        </w:rPr>
        <w:t xml:space="preserve">המערער מיוצג על ידי עו"ד פרטי, </w:t>
      </w:r>
      <w:r w:rsidR="0042292F" w:rsidRPr="00BE6848">
        <w:rPr>
          <w:rFonts w:ascii="David" w:hAnsi="David" w:cs="David"/>
          <w:sz w:val="24"/>
          <w:szCs w:val="24"/>
          <w:rtl/>
        </w:rPr>
        <w:t>מתגורר בדירה</w:t>
      </w:r>
      <w:r>
        <w:rPr>
          <w:rFonts w:ascii="David" w:hAnsi="David" w:cs="David"/>
          <w:sz w:val="24"/>
          <w:szCs w:val="24"/>
          <w:rtl/>
        </w:rPr>
        <w:t xml:space="preserve"> שכורה עם בנו מנישואיו הקודמים</w:t>
      </w:r>
      <w:r>
        <w:rPr>
          <w:rFonts w:ascii="David" w:hAnsi="David" w:cs="David" w:hint="cs"/>
          <w:sz w:val="24"/>
          <w:szCs w:val="24"/>
          <w:rtl/>
        </w:rPr>
        <w:t xml:space="preserve"> </w:t>
      </w:r>
      <w:r w:rsidR="0042292F" w:rsidRPr="00BE6848">
        <w:rPr>
          <w:rFonts w:ascii="David" w:hAnsi="David" w:cs="David"/>
          <w:sz w:val="24"/>
          <w:szCs w:val="24"/>
          <w:rtl/>
        </w:rPr>
        <w:t>ונוהג כמנהג בעלים ברכבים מסוג "מרצדס" ו"ב.מ.וו" אשר חונים בחנייה הצמודה לדירתו השכורה.</w:t>
      </w:r>
    </w:p>
    <w:p w:rsidR="006E11DC" w:rsidRDefault="006E11DC" w:rsidP="00E81737">
      <w:pPr>
        <w:numPr>
          <w:ilvl w:val="0"/>
          <w:numId w:val="1"/>
        </w:numPr>
        <w:spacing w:line="360" w:lineRule="auto"/>
        <w:ind w:left="283"/>
        <w:jc w:val="both"/>
        <w:rPr>
          <w:rFonts w:ascii="David" w:hAnsi="David"/>
          <w:b/>
          <w:bCs/>
        </w:rPr>
      </w:pPr>
      <w:r w:rsidRPr="006E11DC">
        <w:rPr>
          <w:rFonts w:ascii="David" w:hAnsi="David" w:hint="cs"/>
          <w:b/>
          <w:bCs/>
          <w:rtl/>
        </w:rPr>
        <w:t>דיון:</w:t>
      </w:r>
    </w:p>
    <w:p w:rsidR="00F16AF1" w:rsidRPr="00F16AF1" w:rsidRDefault="00F16AF1" w:rsidP="00F34953">
      <w:pPr>
        <w:spacing w:line="360" w:lineRule="auto"/>
        <w:ind w:left="283"/>
        <w:jc w:val="both"/>
        <w:rPr>
          <w:rFonts w:ascii="David" w:hAnsi="David"/>
          <w:b/>
          <w:bCs/>
        </w:rPr>
      </w:pPr>
      <w:r w:rsidRPr="007242B7">
        <w:rPr>
          <w:rFonts w:ascii="David" w:hAnsi="David" w:hint="cs"/>
          <w:rtl/>
        </w:rPr>
        <w:t xml:space="preserve">לאחר עיון בטענות הצדדים- אני רואה לדחות </w:t>
      </w:r>
      <w:r>
        <w:rPr>
          <w:rFonts w:ascii="David" w:hAnsi="David" w:hint="cs"/>
          <w:rtl/>
        </w:rPr>
        <w:t>בקשת המערער לפריסת החוב ולדחות את עיקר טענות הערעור, כפי שיפורט להלן.</w:t>
      </w:r>
    </w:p>
    <w:p w:rsidR="00F34953" w:rsidRDefault="00F16AF1" w:rsidP="00F16AF1">
      <w:pPr>
        <w:spacing w:line="360" w:lineRule="auto"/>
        <w:ind w:left="720" w:hanging="720"/>
        <w:jc w:val="both"/>
        <w:rPr>
          <w:rtl/>
        </w:rPr>
      </w:pPr>
      <w:r>
        <w:rPr>
          <w:rFonts w:hint="cs"/>
          <w:rtl/>
        </w:rPr>
        <w:t>18.1</w:t>
      </w:r>
      <w:r>
        <w:rPr>
          <w:rFonts w:hint="cs"/>
          <w:rtl/>
        </w:rPr>
        <w:tab/>
      </w:r>
      <w:r w:rsidR="006576B1">
        <w:rPr>
          <w:rFonts w:hint="cs"/>
          <w:rtl/>
        </w:rPr>
        <w:t>בסעיף 69ב1(ו) לחוק ההוצאה לפועל התשכ"ז- 1967 (להלן: "</w:t>
      </w:r>
      <w:r w:rsidR="006576B1" w:rsidRPr="006576B1">
        <w:rPr>
          <w:rFonts w:hint="cs"/>
          <w:b/>
          <w:bCs/>
          <w:rtl/>
        </w:rPr>
        <w:t>חוק ההוצל"פ</w:t>
      </w:r>
      <w:r w:rsidR="006576B1">
        <w:rPr>
          <w:rFonts w:hint="cs"/>
          <w:rtl/>
        </w:rPr>
        <w:t xml:space="preserve">") נקבע כי על החייב להציג אסמכתאות בדבר </w:t>
      </w:r>
      <w:r w:rsidR="00F34953">
        <w:rPr>
          <w:rFonts w:hint="cs"/>
          <w:rtl/>
        </w:rPr>
        <w:t>יכולתו לשלם את חוב העבר במזונות.</w:t>
      </w:r>
    </w:p>
    <w:p w:rsidR="00FE7F3A" w:rsidRDefault="00FE7F3A" w:rsidP="00F16AF1">
      <w:pPr>
        <w:autoSpaceDE w:val="0"/>
        <w:autoSpaceDN w:val="0"/>
        <w:adjustRightInd w:val="0"/>
        <w:spacing w:after="200" w:line="360" w:lineRule="auto"/>
        <w:ind w:firstLine="720"/>
        <w:jc w:val="both"/>
        <w:rPr>
          <w:rtl/>
        </w:rPr>
      </w:pPr>
      <w:r>
        <w:rPr>
          <w:rFonts w:hint="cs"/>
          <w:rtl/>
        </w:rPr>
        <w:t>ב</w:t>
      </w:r>
      <w:r>
        <w:rPr>
          <w:rtl/>
        </w:rPr>
        <w:t>סעיף 7ג' לחוק ההוצאה לפועל</w:t>
      </w:r>
      <w:r>
        <w:rPr>
          <w:rFonts w:hint="cs"/>
          <w:rtl/>
        </w:rPr>
        <w:t xml:space="preserve"> נקבע כי</w:t>
      </w:r>
      <w:r w:rsidRPr="00FE7F3A">
        <w:rPr>
          <w:rtl/>
        </w:rPr>
        <w:t xml:space="preserve">: </w:t>
      </w:r>
    </w:p>
    <w:p w:rsidR="00FE7F3A" w:rsidRPr="00F16AF1" w:rsidRDefault="00FE7F3A" w:rsidP="00FE7F3A">
      <w:pPr>
        <w:autoSpaceDE w:val="0"/>
        <w:autoSpaceDN w:val="0"/>
        <w:adjustRightInd w:val="0"/>
        <w:spacing w:before="100" w:beforeAutospacing="1" w:line="360" w:lineRule="auto"/>
        <w:ind w:left="1440"/>
        <w:jc w:val="both"/>
        <w:rPr>
          <w:rFonts w:ascii="David" w:hAnsi="David"/>
          <w:b/>
          <w:bCs/>
          <w:sz w:val="22"/>
          <w:szCs w:val="22"/>
          <w:rtl/>
        </w:rPr>
      </w:pPr>
      <w:r w:rsidRPr="00F16AF1">
        <w:rPr>
          <w:rFonts w:ascii="David" w:hAnsi="David" w:hint="cs"/>
          <w:b/>
          <w:bCs/>
          <w:sz w:val="22"/>
          <w:szCs w:val="22"/>
          <w:rtl/>
        </w:rPr>
        <w:t>"</w:t>
      </w:r>
      <w:r w:rsidRPr="00F16AF1">
        <w:rPr>
          <w:rFonts w:ascii="David" w:hAnsi="David"/>
          <w:b/>
          <w:bCs/>
          <w:sz w:val="22"/>
          <w:szCs w:val="22"/>
          <w:rtl/>
        </w:rPr>
        <w:t>על החייב הנטל להוכיח את מידת יכולתו לפרוע את החוב הפסוק ולהביא בפני רשם ההוצאה לפועל את כל המידע והמסמכים הדרושים לשם כך; לא הרים החייב את נטל ההוכחה או לא הביא את המידע כאמור, מבלי לתת הסבר סביר לכך, יראו אותו כבעל יכולת המשתמט מתשלום החוב הפסוק לרבות לענין הליכי מסירת מידע על החייב בלא הסכמתו, הטלת הגבלות לפי פרק ו'1, רישום במרשם החייבים המשתמטים לפי הוראות פרק ו'2 והליכי הבאה לפי פרק ז'2</w:t>
      </w:r>
      <w:r w:rsidRPr="00F16AF1">
        <w:rPr>
          <w:rFonts w:ascii="David" w:hAnsi="David" w:hint="cs"/>
          <w:b/>
          <w:bCs/>
          <w:sz w:val="22"/>
          <w:szCs w:val="22"/>
          <w:rtl/>
        </w:rPr>
        <w:t>".</w:t>
      </w:r>
    </w:p>
    <w:p w:rsidR="008D6D0F" w:rsidRDefault="00F16AF1" w:rsidP="00F16AF1">
      <w:pPr>
        <w:spacing w:line="360" w:lineRule="auto"/>
        <w:ind w:left="720" w:hanging="720"/>
        <w:jc w:val="both"/>
        <w:rPr>
          <w:rtl/>
        </w:rPr>
      </w:pPr>
      <w:r>
        <w:rPr>
          <w:rFonts w:hint="cs"/>
          <w:rtl/>
        </w:rPr>
        <w:t>18.2</w:t>
      </w:r>
      <w:r>
        <w:rPr>
          <w:rFonts w:hint="cs"/>
          <w:rtl/>
        </w:rPr>
        <w:tab/>
      </w:r>
      <w:r w:rsidR="00FE7F3A">
        <w:rPr>
          <w:rFonts w:hint="cs"/>
          <w:rtl/>
        </w:rPr>
        <w:t xml:space="preserve">דומה </w:t>
      </w:r>
      <w:r w:rsidR="00495CB4">
        <w:rPr>
          <w:rFonts w:hint="cs"/>
          <w:rtl/>
        </w:rPr>
        <w:t>כי סעיף זה חל במהותו גם</w:t>
      </w:r>
      <w:r w:rsidR="00FE7F3A">
        <w:rPr>
          <w:rFonts w:hint="cs"/>
          <w:rtl/>
        </w:rPr>
        <w:t xml:space="preserve"> על בקשה לפריסת חוב עבר במזונות. כך או כך, ברי כי מי </w:t>
      </w:r>
      <w:r w:rsidR="008D6D0F" w:rsidRPr="008D6D0F">
        <w:rPr>
          <w:rtl/>
        </w:rPr>
        <w:t>שלא תומך את בקשתו במסמכים, עומד בחזקתו שהוא מסתיר את יכולתו האמיתית, מתחמק מתשלום חובותיו, מעלים את הכנסותיו ו</w:t>
      </w:r>
      <w:r w:rsidR="00495CB4">
        <w:rPr>
          <w:rtl/>
        </w:rPr>
        <w:t>איננו רוצה לגלות פרטים מהותיים</w:t>
      </w:r>
      <w:r w:rsidR="00495CB4">
        <w:rPr>
          <w:rFonts w:hint="cs"/>
          <w:rtl/>
        </w:rPr>
        <w:t xml:space="preserve">. </w:t>
      </w:r>
      <w:r w:rsidR="008D6D0F" w:rsidRPr="008D6D0F">
        <w:rPr>
          <w:rtl/>
        </w:rPr>
        <w:t xml:space="preserve">משום כך, אין טעם לקבל את בקשתו, כל עוד איננו מגלה רצון כנה לשתף פעולה עם רשויות הגבייה, לשם בירור יכולתו האמיתית ותשלום חובותיו בהתאם ליכולתו. </w:t>
      </w:r>
    </w:p>
    <w:p w:rsidR="00495CB4" w:rsidRDefault="00F16AF1" w:rsidP="00F16AF1">
      <w:pPr>
        <w:spacing w:line="360" w:lineRule="auto"/>
        <w:ind w:left="720" w:hanging="720"/>
        <w:jc w:val="both"/>
        <w:rPr>
          <w:rtl/>
        </w:rPr>
      </w:pPr>
      <w:r>
        <w:rPr>
          <w:rFonts w:hint="cs"/>
          <w:rtl/>
        </w:rPr>
        <w:t>18.3</w:t>
      </w:r>
      <w:r>
        <w:rPr>
          <w:rFonts w:hint="cs"/>
          <w:rtl/>
        </w:rPr>
        <w:tab/>
      </w:r>
      <w:r w:rsidR="00495CB4">
        <w:rPr>
          <w:rFonts w:hint="cs"/>
          <w:rtl/>
        </w:rPr>
        <w:t>בענייננו, כב' רשם ההוצאה לפועל קבע פעם אחר פעם כי המערער לא הציג לפניו כלל המסמכים כמתחייב על פי דין להוכחת מצבו הכלכלי.</w:t>
      </w:r>
    </w:p>
    <w:p w:rsidR="008F753B" w:rsidRDefault="00F16AF1" w:rsidP="00F16AF1">
      <w:pPr>
        <w:spacing w:line="360" w:lineRule="auto"/>
        <w:ind w:left="720" w:hanging="720"/>
        <w:jc w:val="both"/>
        <w:rPr>
          <w:rtl/>
        </w:rPr>
      </w:pPr>
      <w:r>
        <w:rPr>
          <w:rFonts w:hint="cs"/>
          <w:rtl/>
        </w:rPr>
        <w:t>18.4</w:t>
      </w:r>
      <w:r>
        <w:rPr>
          <w:rFonts w:hint="cs"/>
          <w:rtl/>
        </w:rPr>
        <w:tab/>
      </w:r>
      <w:r w:rsidR="00CC7B66">
        <w:rPr>
          <w:rFonts w:hint="cs"/>
          <w:rtl/>
        </w:rPr>
        <w:t xml:space="preserve">גם </w:t>
      </w:r>
      <w:r w:rsidR="00495CB4">
        <w:rPr>
          <w:rFonts w:hint="cs"/>
          <w:rtl/>
        </w:rPr>
        <w:t>בהליך</w:t>
      </w:r>
      <w:r w:rsidR="008F753B">
        <w:rPr>
          <w:rFonts w:hint="cs"/>
          <w:rtl/>
        </w:rPr>
        <w:t xml:space="preserve"> דנן לא הגיש המערער כל אסמכתא שיש בה כדי להעיד על מצבו הכלכלי. </w:t>
      </w:r>
      <w:r w:rsidR="00495CB4">
        <w:rPr>
          <w:rFonts w:hint="cs"/>
          <w:rtl/>
        </w:rPr>
        <w:t>משכך, ברי כי אין מקום להורות על פריסת החוב בתיק דנן או לקבל הערעור על החלטות רשם ההוצאה לפועל הנכבד בעניין זה.</w:t>
      </w:r>
    </w:p>
    <w:p w:rsidR="00495CB4" w:rsidRDefault="00F16AF1" w:rsidP="00F16AF1">
      <w:pPr>
        <w:spacing w:line="360" w:lineRule="auto"/>
        <w:ind w:left="720" w:hanging="720"/>
        <w:jc w:val="both"/>
        <w:rPr>
          <w:rtl/>
        </w:rPr>
      </w:pPr>
      <w:r>
        <w:rPr>
          <w:rFonts w:hint="cs"/>
          <w:rtl/>
        </w:rPr>
        <w:t>18.5</w:t>
      </w:r>
      <w:r>
        <w:rPr>
          <w:rFonts w:hint="cs"/>
          <w:rtl/>
        </w:rPr>
        <w:tab/>
      </w:r>
      <w:r w:rsidR="00495CB4">
        <w:rPr>
          <w:rFonts w:hint="cs"/>
          <w:rtl/>
        </w:rPr>
        <w:t xml:space="preserve">ככל שעומד המערער על פריסת חובו יתכבד ויגיש לרשם ההוצאה לפועל הנכבד את כלל האסמכתאות הנדרשות ממנו על פי דין. </w:t>
      </w:r>
    </w:p>
    <w:p w:rsidR="00F16AF1" w:rsidRDefault="00F16AF1" w:rsidP="00F16AF1">
      <w:pPr>
        <w:spacing w:line="360" w:lineRule="auto"/>
        <w:ind w:left="720" w:hanging="720"/>
        <w:jc w:val="both"/>
      </w:pPr>
      <w:r>
        <w:rPr>
          <w:rFonts w:hint="cs"/>
          <w:rtl/>
        </w:rPr>
        <w:t>18.6</w:t>
      </w:r>
      <w:r>
        <w:rPr>
          <w:rFonts w:hint="cs"/>
          <w:rtl/>
        </w:rPr>
        <w:tab/>
      </w:r>
      <w:r w:rsidR="00495CB4">
        <w:rPr>
          <w:rFonts w:hint="cs"/>
          <w:rtl/>
        </w:rPr>
        <w:t>עם זאת- בנקודה אחת בל</w:t>
      </w:r>
      <w:r>
        <w:rPr>
          <w:rFonts w:hint="cs"/>
          <w:rtl/>
        </w:rPr>
        <w:t xml:space="preserve">בד ראיתי להתערב בהחלטת כב' הרשם, שכן, </w:t>
      </w:r>
      <w:r w:rsidR="00495CB4">
        <w:rPr>
          <w:rFonts w:hint="cs"/>
          <w:rtl/>
        </w:rPr>
        <w:t xml:space="preserve">אינני סבורה כי יש מקום להתנות את פריסת החוב בכך שהחייב יחל לעבוד בפועל. </w:t>
      </w:r>
      <w:r>
        <w:rPr>
          <w:rFonts w:hint="cs"/>
          <w:rtl/>
        </w:rPr>
        <w:t xml:space="preserve"> תנייה זו אינה קבוע בדין ונראה </w:t>
      </w:r>
      <w:r w:rsidR="00F34953">
        <w:rPr>
          <w:rFonts w:hint="cs"/>
          <w:rtl/>
        </w:rPr>
        <w:t>ש</w:t>
      </w:r>
      <w:r>
        <w:rPr>
          <w:rFonts w:hint="cs"/>
          <w:rtl/>
        </w:rPr>
        <w:t>לא בכדי. אנמק טעמיי:</w:t>
      </w:r>
    </w:p>
    <w:p w:rsidR="00495CB4" w:rsidRDefault="00495CB4" w:rsidP="00F34953">
      <w:pPr>
        <w:spacing w:line="360" w:lineRule="auto"/>
        <w:ind w:left="720"/>
        <w:jc w:val="both"/>
      </w:pPr>
      <w:r>
        <w:rPr>
          <w:rFonts w:hint="cs"/>
          <w:rtl/>
        </w:rPr>
        <w:t>מחד גיסא- תנאי זה מכניס את החייב ל</w:t>
      </w:r>
      <w:r w:rsidR="00F16AF1">
        <w:rPr>
          <w:rFonts w:hint="cs"/>
          <w:rtl/>
        </w:rPr>
        <w:t>"</w:t>
      </w:r>
      <w:r>
        <w:rPr>
          <w:rFonts w:hint="cs"/>
          <w:rtl/>
        </w:rPr>
        <w:t>מעגל שוטים</w:t>
      </w:r>
      <w:r w:rsidR="00F16AF1">
        <w:rPr>
          <w:rFonts w:hint="cs"/>
          <w:rtl/>
        </w:rPr>
        <w:t>"</w:t>
      </w:r>
      <w:r>
        <w:rPr>
          <w:rFonts w:hint="cs"/>
          <w:rtl/>
        </w:rPr>
        <w:t>: החוב לא נפרס והעיקולים על הח</w:t>
      </w:r>
      <w:r w:rsidR="00137D8B">
        <w:rPr>
          <w:rFonts w:hint="cs"/>
          <w:rtl/>
        </w:rPr>
        <w:t>ייב לא מבוטלים כל עוד החייב לא י</w:t>
      </w:r>
      <w:r>
        <w:rPr>
          <w:rFonts w:hint="cs"/>
          <w:rtl/>
        </w:rPr>
        <w:t xml:space="preserve">תקבל לעבודה והחייב לא מתקבל לעבודה בגלל העיקולים המוטלים עליו. </w:t>
      </w:r>
    </w:p>
    <w:p w:rsidR="00137D8B" w:rsidRDefault="005E6E7A" w:rsidP="005E6E7A">
      <w:pPr>
        <w:spacing w:line="360" w:lineRule="auto"/>
        <w:ind w:left="720"/>
        <w:jc w:val="both"/>
        <w:rPr>
          <w:rtl/>
        </w:rPr>
      </w:pPr>
      <w:r>
        <w:rPr>
          <w:rFonts w:hint="cs"/>
          <w:rtl/>
        </w:rPr>
        <w:lastRenderedPageBreak/>
        <w:t xml:space="preserve">מאידך גיסא- </w:t>
      </w:r>
      <w:r w:rsidR="00495CB4">
        <w:rPr>
          <w:rFonts w:hint="cs"/>
          <w:rtl/>
        </w:rPr>
        <w:t>לא יגרם כל נזק לזוכה באם ייפרס החוב על יסוד בחינת יכולתו של החייב (</w:t>
      </w:r>
      <w:r w:rsidR="00495CB4" w:rsidRPr="00137D8B">
        <w:rPr>
          <w:rFonts w:hint="cs"/>
          <w:b/>
          <w:bCs/>
          <w:rtl/>
        </w:rPr>
        <w:t xml:space="preserve">לרבות </w:t>
      </w:r>
      <w:r w:rsidR="00F16AF1">
        <w:rPr>
          <w:rFonts w:hint="cs"/>
          <w:b/>
          <w:bCs/>
          <w:rtl/>
        </w:rPr>
        <w:t>התחשבות ב</w:t>
      </w:r>
      <w:r w:rsidR="00495CB4" w:rsidRPr="00137D8B">
        <w:rPr>
          <w:rFonts w:hint="cs"/>
          <w:b/>
          <w:bCs/>
          <w:rtl/>
        </w:rPr>
        <w:t>פוטנציאל השתכרותו</w:t>
      </w:r>
      <w:r w:rsidR="00495CB4">
        <w:rPr>
          <w:rFonts w:hint="cs"/>
          <w:rtl/>
        </w:rPr>
        <w:t xml:space="preserve">) </w:t>
      </w:r>
      <w:r w:rsidR="00137D8B">
        <w:rPr>
          <w:rFonts w:hint="cs"/>
          <w:rtl/>
        </w:rPr>
        <w:t>והתחי</w:t>
      </w:r>
      <w:r w:rsidR="00F16AF1">
        <w:rPr>
          <w:rFonts w:hint="cs"/>
          <w:rtl/>
        </w:rPr>
        <w:t>י</w:t>
      </w:r>
      <w:r w:rsidR="00137D8B">
        <w:rPr>
          <w:rFonts w:hint="cs"/>
          <w:rtl/>
        </w:rPr>
        <w:t>בותו לעמוד בצו התשלומים שיושת עליו</w:t>
      </w:r>
      <w:r>
        <w:rPr>
          <w:rFonts w:hint="cs"/>
          <w:rtl/>
        </w:rPr>
        <w:t xml:space="preserve"> שהרי </w:t>
      </w:r>
      <w:r w:rsidR="00137D8B">
        <w:rPr>
          <w:rFonts w:hint="cs"/>
          <w:rtl/>
        </w:rPr>
        <w:t xml:space="preserve">ממילא עולה כי לא נתפסו עיקולי שכר </w:t>
      </w:r>
      <w:r>
        <w:rPr>
          <w:rFonts w:hint="cs"/>
          <w:rtl/>
        </w:rPr>
        <w:t>(</w:t>
      </w:r>
      <w:r w:rsidR="00F16AF1">
        <w:rPr>
          <w:rFonts w:hint="cs"/>
          <w:rtl/>
        </w:rPr>
        <w:t>אחרת לא היה נדרש הדבר כתנאי לפריסת החוב)</w:t>
      </w:r>
      <w:r w:rsidR="00137D8B">
        <w:rPr>
          <w:rFonts w:hint="cs"/>
          <w:rtl/>
        </w:rPr>
        <w:t>. מנגד- ככל שהחייב יחל במקום עבודה חדש ולא יעמוד בצו התשלומים- תמיד ניתן יהא לעתור לביטול הצו ולשפעל כלל ההליכים כנגדו.</w:t>
      </w:r>
    </w:p>
    <w:p w:rsidR="00137D8B" w:rsidRDefault="000B0B87" w:rsidP="000B0B87">
      <w:pPr>
        <w:spacing w:line="360" w:lineRule="auto"/>
        <w:ind w:left="720"/>
        <w:jc w:val="both"/>
        <w:rPr>
          <w:rtl/>
        </w:rPr>
      </w:pPr>
      <w:r>
        <w:rPr>
          <w:rFonts w:hint="cs"/>
          <w:rtl/>
        </w:rPr>
        <w:t xml:space="preserve">משכך, </w:t>
      </w:r>
      <w:r w:rsidR="00137D8B">
        <w:rPr>
          <w:rFonts w:hint="cs"/>
          <w:rtl/>
        </w:rPr>
        <w:t>כל עוד יעמוד החייב בתנאים לפריסת החוב- גילוי כלל המסמכים הנדרשי</w:t>
      </w:r>
      <w:r>
        <w:rPr>
          <w:rFonts w:hint="cs"/>
          <w:rtl/>
        </w:rPr>
        <w:t>ם על פי דין להוכחת מצבו הכלכלי</w:t>
      </w:r>
      <w:r w:rsidR="005E6E7A">
        <w:rPr>
          <w:rFonts w:hint="cs"/>
          <w:rtl/>
        </w:rPr>
        <w:t>, אין מקום להתנות מתן הצו  בכך שהחייב יחל לעבוד לפרסנתו בפועל.</w:t>
      </w:r>
    </w:p>
    <w:p w:rsidR="005E6E7A" w:rsidRDefault="005E6E7A" w:rsidP="00F16AF1">
      <w:pPr>
        <w:spacing w:line="360" w:lineRule="auto"/>
        <w:ind w:left="720"/>
        <w:jc w:val="both"/>
        <w:rPr>
          <w:rtl/>
        </w:rPr>
      </w:pPr>
    </w:p>
    <w:p w:rsidR="00137D8B" w:rsidRPr="00137D8B" w:rsidRDefault="00137D8B" w:rsidP="00EB79FB">
      <w:pPr>
        <w:pStyle w:val="ad"/>
        <w:numPr>
          <w:ilvl w:val="0"/>
          <w:numId w:val="11"/>
        </w:numPr>
        <w:spacing w:line="360" w:lineRule="auto"/>
        <w:jc w:val="both"/>
        <w:rPr>
          <w:rFonts w:ascii="David" w:hAnsi="David"/>
          <w:b/>
          <w:bCs/>
          <w:u w:val="single"/>
          <w:rtl/>
        </w:rPr>
      </w:pPr>
      <w:r>
        <w:rPr>
          <w:rFonts w:ascii="David" w:hAnsi="David" w:hint="cs"/>
          <w:b/>
          <w:bCs/>
          <w:u w:val="single"/>
          <w:rtl/>
        </w:rPr>
        <w:t>סוף דבר</w:t>
      </w:r>
      <w:r w:rsidR="00304504">
        <w:rPr>
          <w:rFonts w:ascii="David" w:hAnsi="David" w:hint="cs"/>
          <w:b/>
          <w:bCs/>
          <w:u w:val="single"/>
          <w:rtl/>
        </w:rPr>
        <w:t xml:space="preserve"> והוצאות משפט</w:t>
      </w:r>
    </w:p>
    <w:p w:rsidR="00E81737" w:rsidRDefault="00137D8B" w:rsidP="0031578B">
      <w:pPr>
        <w:numPr>
          <w:ilvl w:val="0"/>
          <w:numId w:val="1"/>
        </w:numPr>
        <w:spacing w:line="360" w:lineRule="auto"/>
        <w:jc w:val="both"/>
      </w:pPr>
      <w:r>
        <w:rPr>
          <w:rFonts w:hint="cs"/>
          <w:rtl/>
        </w:rPr>
        <w:t>הער</w:t>
      </w:r>
      <w:r w:rsidR="00304504">
        <w:rPr>
          <w:rFonts w:hint="cs"/>
          <w:rtl/>
        </w:rPr>
        <w:t>עור נדחה, למעט המפורט בסעי</w:t>
      </w:r>
      <w:r w:rsidR="0031578B">
        <w:rPr>
          <w:rFonts w:hint="cs"/>
          <w:rtl/>
        </w:rPr>
        <w:t>ף 18.6</w:t>
      </w:r>
      <w:r w:rsidR="00304504">
        <w:rPr>
          <w:rFonts w:hint="cs"/>
          <w:rtl/>
        </w:rPr>
        <w:t xml:space="preserve"> לעיל. </w:t>
      </w:r>
    </w:p>
    <w:p w:rsidR="00304504" w:rsidRDefault="0031578B" w:rsidP="003D3F4D">
      <w:pPr>
        <w:numPr>
          <w:ilvl w:val="0"/>
          <w:numId w:val="1"/>
        </w:numPr>
        <w:spacing w:line="360" w:lineRule="auto"/>
        <w:jc w:val="both"/>
      </w:pPr>
      <w:r>
        <w:rPr>
          <w:rFonts w:hint="cs"/>
          <w:rtl/>
        </w:rPr>
        <w:t>לעניין ההוצאות שקלתי השיקולים הבאים: עיקר ערעורו של המערער נדחה, סכום המחלוקת ומהותה (הגדלת חוב בסך של כ- 19,500 ₪ וכן פריסת חוב), אופן ניהול המחלוקת (ללא צורך ב</w:t>
      </w:r>
      <w:r w:rsidR="003D3F4D">
        <w:rPr>
          <w:rFonts w:hint="cs"/>
          <w:rtl/>
        </w:rPr>
        <w:t>חקירות</w:t>
      </w:r>
      <w:r>
        <w:rPr>
          <w:rFonts w:hint="cs"/>
          <w:rtl/>
        </w:rPr>
        <w:t>) והעובדה שהמשיבה לא היתה מיוצגת לאורך ההליך, למעט בסיכומים</w:t>
      </w:r>
      <w:r w:rsidR="00304504">
        <w:rPr>
          <w:rFonts w:hint="cs"/>
          <w:rtl/>
        </w:rPr>
        <w:t xml:space="preserve"> ראיתי לחייב המערער בהוצאות על הצד הנמוך בסך של 3,000 ₪ ש"ח שישולמו למשיבה תוך 30 ימים. </w:t>
      </w:r>
    </w:p>
    <w:p w:rsidR="007E3DE2" w:rsidRDefault="007E3DE2" w:rsidP="007E3DE2">
      <w:pPr>
        <w:spacing w:line="360" w:lineRule="auto"/>
        <w:jc w:val="both"/>
        <w:rPr>
          <w:rtl/>
        </w:rPr>
      </w:pPr>
    </w:p>
    <w:p w:rsidR="009140A3" w:rsidRDefault="009140A3" w:rsidP="009140A3">
      <w:pPr>
        <w:spacing w:line="360" w:lineRule="auto"/>
        <w:ind w:hanging="142"/>
        <w:jc w:val="both"/>
        <w:rPr>
          <w:rFonts w:ascii="David" w:hAnsi="David"/>
          <w:b/>
          <w:bCs/>
          <w:u w:val="single"/>
        </w:rPr>
      </w:pPr>
      <w:r>
        <w:rPr>
          <w:rFonts w:ascii="David" w:hAnsi="David"/>
          <w:b/>
          <w:bCs/>
          <w:u w:val="single"/>
          <w:rtl/>
        </w:rPr>
        <w:t>המזכירות תמציא העתק פסק הדין לב"כ הצדדים</w:t>
      </w:r>
      <w:r>
        <w:rPr>
          <w:rFonts w:ascii="David" w:hAnsi="David" w:hint="cs"/>
          <w:b/>
          <w:bCs/>
          <w:u w:val="single"/>
          <w:rtl/>
        </w:rPr>
        <w:t xml:space="preserve"> וללשכת ההוצאה לפועל </w:t>
      </w:r>
      <w:r>
        <w:rPr>
          <w:rFonts w:ascii="David" w:hAnsi="David"/>
          <w:b/>
          <w:bCs/>
          <w:u w:val="single"/>
          <w:rtl/>
        </w:rPr>
        <w:t>ותסגור התיק שבכותרת.</w:t>
      </w:r>
    </w:p>
    <w:p w:rsidR="007E3DE2" w:rsidRPr="009140A3" w:rsidRDefault="007E3DE2" w:rsidP="007E3DE2">
      <w:pPr>
        <w:spacing w:line="360" w:lineRule="auto"/>
        <w:jc w:val="both"/>
        <w:rPr>
          <w:rtl/>
        </w:rPr>
      </w:pPr>
    </w:p>
    <w:p w:rsidR="00694556" w:rsidRDefault="00574852">
      <w:pPr>
        <w:spacing w:line="360" w:lineRule="auto"/>
        <w:jc w:val="both"/>
        <w:rPr>
          <w:rFonts w:ascii="Arial" w:hAnsi="Arial"/>
          <w:noProof w:val="0"/>
          <w:rtl/>
        </w:rPr>
      </w:pPr>
      <w:r>
        <w:rPr>
          <w:rFonts w:ascii="Arial" w:hAnsi="Arial" w:hint="cs"/>
          <w:noProof w:val="0"/>
          <w:rtl/>
        </w:rPr>
        <w:t>מותר לפרסום בהשמטת פרטים מזהים.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347D0" w:rsidP="00633C4F">
      <w:pPr>
        <w:spacing w:line="360" w:lineRule="auto"/>
        <w:ind w:left="3600" w:firstLine="720"/>
      </w:pPr>
      <w:sdt>
        <w:sdtPr>
          <w:rPr>
            <w:rtl/>
          </w:rPr>
          <w:alias w:val="MergeField"/>
          <w:tag w:val="1237"/>
          <w:id w:val="1711066194"/>
        </w:sdtPr>
        <w:sdtEndPr/>
        <w:sdtContent>
          <w:r w:rsidR="00561AC0">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028700" cy="10858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7D0" w:rsidRDefault="005347D0">
      <w:r>
        <w:separator/>
      </w:r>
    </w:p>
  </w:endnote>
  <w:endnote w:type="continuationSeparator" w:id="0">
    <w:p w:rsidR="005347D0" w:rsidRDefault="0053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CF1" w:rsidRDefault="00F22CF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22CF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22CF1">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CF1" w:rsidRDefault="00F22CF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7D0" w:rsidRDefault="005347D0">
      <w:r>
        <w:separator/>
      </w:r>
    </w:p>
  </w:footnote>
  <w:footnote w:type="continuationSeparator" w:id="0">
    <w:p w:rsidR="005347D0" w:rsidRDefault="00534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CF1" w:rsidRDefault="00F22CF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347D0" w:rsidP="00561AC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ע"ר</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63058-06-23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61AC0">
                <w:rPr>
                  <w:rFonts w:hint="cs"/>
                  <w:b/>
                  <w:bCs/>
                  <w:noProof w:val="0"/>
                  <w:sz w:val="26"/>
                  <w:szCs w:val="26"/>
                </w:rPr>
                <w:t>XXX</w:t>
              </w:r>
              <w:r w:rsidR="00FB3C14">
                <w:rPr>
                  <w:b/>
                  <w:bCs/>
                  <w:noProof w:val="0"/>
                  <w:sz w:val="26"/>
                  <w:szCs w:val="26"/>
                  <w:rtl/>
                </w:rPr>
                <w:t xml:space="preserve"> נ' </w:t>
              </w:r>
              <w:r w:rsidR="00561AC0">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rFonts w:hint="cs"/>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החלטה</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CF1" w:rsidRDefault="00F22C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49CE"/>
    <w:multiLevelType w:val="hybridMultilevel"/>
    <w:tmpl w:val="B70A96D6"/>
    <w:lvl w:ilvl="0" w:tplc="32241974">
      <w:numFmt w:val="bullet"/>
      <w:lvlText w:val="-"/>
      <w:lvlJc w:val="left"/>
      <w:pPr>
        <w:ind w:left="578" w:hanging="360"/>
      </w:pPr>
      <w:rPr>
        <w:rFonts w:ascii="David" w:eastAsia="Times New Roman" w:hAnsi="David" w:cs="David" w:hint="default"/>
        <w:u w:val="none"/>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DD72E09"/>
    <w:multiLevelType w:val="hybridMultilevel"/>
    <w:tmpl w:val="21B8ED5C"/>
    <w:lvl w:ilvl="0" w:tplc="A89CD788">
      <w:start w:val="1"/>
      <w:numFmt w:val="decimal"/>
      <w:lvlText w:val="%1."/>
      <w:lvlJc w:val="left"/>
      <w:pPr>
        <w:ind w:left="720" w:hanging="360"/>
      </w:pPr>
      <w:rPr>
        <w:rFonts w:cs="Times New Roman"/>
      </w:rPr>
    </w:lvl>
    <w:lvl w:ilvl="1" w:tplc="22FED81A">
      <w:start w:val="1"/>
      <w:numFmt w:val="lowerLetter"/>
      <w:lvlText w:val="%2."/>
      <w:lvlJc w:val="left"/>
      <w:pPr>
        <w:ind w:left="1440" w:hanging="360"/>
      </w:pPr>
      <w:rPr>
        <w:rFonts w:cs="Times New Roman"/>
      </w:rPr>
    </w:lvl>
    <w:lvl w:ilvl="2" w:tplc="E8409672">
      <w:start w:val="1"/>
      <w:numFmt w:val="lowerRoman"/>
      <w:lvlText w:val="%3."/>
      <w:lvlJc w:val="right"/>
      <w:pPr>
        <w:ind w:left="2160" w:hanging="180"/>
      </w:pPr>
      <w:rPr>
        <w:rFonts w:cs="Times New Roman"/>
      </w:rPr>
    </w:lvl>
    <w:lvl w:ilvl="3" w:tplc="F704E9E6">
      <w:start w:val="1"/>
      <w:numFmt w:val="decimal"/>
      <w:lvlText w:val="%4."/>
      <w:lvlJc w:val="left"/>
      <w:pPr>
        <w:ind w:left="2880" w:hanging="360"/>
      </w:pPr>
      <w:rPr>
        <w:rFonts w:cs="Times New Roman"/>
      </w:rPr>
    </w:lvl>
    <w:lvl w:ilvl="4" w:tplc="DA8846F0">
      <w:start w:val="1"/>
      <w:numFmt w:val="lowerLetter"/>
      <w:lvlText w:val="%5."/>
      <w:lvlJc w:val="left"/>
      <w:pPr>
        <w:ind w:left="3600" w:hanging="360"/>
      </w:pPr>
      <w:rPr>
        <w:rFonts w:cs="Times New Roman"/>
      </w:rPr>
    </w:lvl>
    <w:lvl w:ilvl="5" w:tplc="B0D8BFE6">
      <w:start w:val="1"/>
      <w:numFmt w:val="lowerRoman"/>
      <w:lvlText w:val="%6."/>
      <w:lvlJc w:val="right"/>
      <w:pPr>
        <w:ind w:left="4320" w:hanging="180"/>
      </w:pPr>
      <w:rPr>
        <w:rFonts w:cs="Times New Roman"/>
      </w:rPr>
    </w:lvl>
    <w:lvl w:ilvl="6" w:tplc="71181DCC">
      <w:start w:val="1"/>
      <w:numFmt w:val="decimal"/>
      <w:lvlText w:val="%7."/>
      <w:lvlJc w:val="left"/>
      <w:pPr>
        <w:ind w:left="5040" w:hanging="360"/>
      </w:pPr>
      <w:rPr>
        <w:rFonts w:cs="Times New Roman"/>
      </w:rPr>
    </w:lvl>
    <w:lvl w:ilvl="7" w:tplc="5FFA5FE2">
      <w:start w:val="1"/>
      <w:numFmt w:val="lowerLetter"/>
      <w:lvlText w:val="%8."/>
      <w:lvlJc w:val="left"/>
      <w:pPr>
        <w:ind w:left="5760" w:hanging="360"/>
      </w:pPr>
      <w:rPr>
        <w:rFonts w:cs="Times New Roman"/>
      </w:rPr>
    </w:lvl>
    <w:lvl w:ilvl="8" w:tplc="DC74E790">
      <w:start w:val="1"/>
      <w:numFmt w:val="lowerRoman"/>
      <w:lvlText w:val="%9."/>
      <w:lvlJc w:val="right"/>
      <w:pPr>
        <w:ind w:left="6480" w:hanging="180"/>
      </w:pPr>
      <w:rPr>
        <w:rFonts w:cs="Times New Roman"/>
      </w:rPr>
    </w:lvl>
  </w:abstractNum>
  <w:abstractNum w:abstractNumId="2" w15:restartNumberingAfterBreak="0">
    <w:nsid w:val="0FC40682"/>
    <w:multiLevelType w:val="hybridMultilevel"/>
    <w:tmpl w:val="BD7028C0"/>
    <w:lvl w:ilvl="0" w:tplc="67D2848E">
      <w:numFmt w:val="bullet"/>
      <w:lvlText w:val="-"/>
      <w:lvlJc w:val="left"/>
      <w:pPr>
        <w:ind w:left="578" w:hanging="360"/>
      </w:pPr>
      <w:rPr>
        <w:rFonts w:ascii="David" w:eastAsia="Times New Roman" w:hAnsi="David" w:cs="David"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 w15:restartNumberingAfterBreak="0">
    <w:nsid w:val="298F0FD2"/>
    <w:multiLevelType w:val="multilevel"/>
    <w:tmpl w:val="4CB89542"/>
    <w:lvl w:ilvl="0">
      <w:start w:val="1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D01445"/>
    <w:multiLevelType w:val="hybridMultilevel"/>
    <w:tmpl w:val="1C207C2A"/>
    <w:lvl w:ilvl="0" w:tplc="71A8B25C">
      <w:start w:val="1"/>
      <w:numFmt w:val="hebrew1"/>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D94278"/>
    <w:multiLevelType w:val="hybridMultilevel"/>
    <w:tmpl w:val="59102EE0"/>
    <w:lvl w:ilvl="0" w:tplc="9582061A">
      <w:start w:val="1"/>
      <w:numFmt w:val="decimal"/>
      <w:lvlText w:val="%1."/>
      <w:lvlJc w:val="left"/>
      <w:pPr>
        <w:ind w:left="218" w:hanging="360"/>
      </w:p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6" w15:restartNumberingAfterBreak="0">
    <w:nsid w:val="492005A3"/>
    <w:multiLevelType w:val="multilevel"/>
    <w:tmpl w:val="022223DC"/>
    <w:lvl w:ilvl="0">
      <w:start w:val="1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4D963656"/>
    <w:multiLevelType w:val="multilevel"/>
    <w:tmpl w:val="2F30B9E2"/>
    <w:name w:val="List38614_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8" w15:restartNumberingAfterBreak="0">
    <w:nsid w:val="4DF20228"/>
    <w:multiLevelType w:val="hybridMultilevel"/>
    <w:tmpl w:val="8298850A"/>
    <w:lvl w:ilvl="0" w:tplc="B38EF90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FD7C25"/>
    <w:multiLevelType w:val="hybridMultilevel"/>
    <w:tmpl w:val="D8689E56"/>
    <w:lvl w:ilvl="0" w:tplc="CA3611F0">
      <w:numFmt w:val="bullet"/>
      <w:lvlText w:val=""/>
      <w:lvlJc w:val="left"/>
      <w:pPr>
        <w:ind w:left="1069" w:hanging="360"/>
      </w:pPr>
      <w:rPr>
        <w:rFonts w:ascii="Symbol" w:eastAsia="Calibri" w:hAnsi="Symbol" w:cs="Times New Roman" w:hint="default"/>
        <w:sz w:val="22"/>
      </w:rPr>
    </w:lvl>
    <w:lvl w:ilvl="1" w:tplc="74B81788">
      <w:start w:val="1"/>
      <w:numFmt w:val="bullet"/>
      <w:lvlText w:val="o"/>
      <w:lvlJc w:val="left"/>
      <w:pPr>
        <w:ind w:left="1800" w:hanging="360"/>
      </w:pPr>
      <w:rPr>
        <w:rFonts w:ascii="Courier New" w:hAnsi="Courier New" w:cs="Courier New" w:hint="default"/>
      </w:rPr>
    </w:lvl>
    <w:lvl w:ilvl="2" w:tplc="3E4686DA">
      <w:start w:val="1"/>
      <w:numFmt w:val="bullet"/>
      <w:lvlText w:val=""/>
      <w:lvlJc w:val="left"/>
      <w:pPr>
        <w:ind w:left="2520" w:hanging="360"/>
      </w:pPr>
      <w:rPr>
        <w:rFonts w:ascii="Wingdings" w:hAnsi="Wingdings" w:hint="default"/>
      </w:rPr>
    </w:lvl>
    <w:lvl w:ilvl="3" w:tplc="F2B488CC">
      <w:start w:val="1"/>
      <w:numFmt w:val="bullet"/>
      <w:lvlText w:val=""/>
      <w:lvlJc w:val="left"/>
      <w:pPr>
        <w:ind w:left="3240" w:hanging="360"/>
      </w:pPr>
      <w:rPr>
        <w:rFonts w:ascii="Symbol" w:hAnsi="Symbol" w:hint="default"/>
      </w:rPr>
    </w:lvl>
    <w:lvl w:ilvl="4" w:tplc="9D1CB6F0">
      <w:start w:val="1"/>
      <w:numFmt w:val="bullet"/>
      <w:lvlText w:val="o"/>
      <w:lvlJc w:val="left"/>
      <w:pPr>
        <w:ind w:left="3960" w:hanging="360"/>
      </w:pPr>
      <w:rPr>
        <w:rFonts w:ascii="Courier New" w:hAnsi="Courier New" w:cs="Courier New" w:hint="default"/>
      </w:rPr>
    </w:lvl>
    <w:lvl w:ilvl="5" w:tplc="9018911A">
      <w:start w:val="1"/>
      <w:numFmt w:val="bullet"/>
      <w:lvlText w:val=""/>
      <w:lvlJc w:val="left"/>
      <w:pPr>
        <w:ind w:left="4680" w:hanging="360"/>
      </w:pPr>
      <w:rPr>
        <w:rFonts w:ascii="Wingdings" w:hAnsi="Wingdings" w:hint="default"/>
      </w:rPr>
    </w:lvl>
    <w:lvl w:ilvl="6" w:tplc="37E018B4">
      <w:start w:val="1"/>
      <w:numFmt w:val="bullet"/>
      <w:lvlText w:val=""/>
      <w:lvlJc w:val="left"/>
      <w:pPr>
        <w:ind w:left="5400" w:hanging="360"/>
      </w:pPr>
      <w:rPr>
        <w:rFonts w:ascii="Symbol" w:hAnsi="Symbol" w:hint="default"/>
      </w:rPr>
    </w:lvl>
    <w:lvl w:ilvl="7" w:tplc="F9E423B0">
      <w:start w:val="1"/>
      <w:numFmt w:val="bullet"/>
      <w:lvlText w:val="o"/>
      <w:lvlJc w:val="left"/>
      <w:pPr>
        <w:ind w:left="6120" w:hanging="360"/>
      </w:pPr>
      <w:rPr>
        <w:rFonts w:ascii="Courier New" w:hAnsi="Courier New" w:cs="Courier New" w:hint="default"/>
      </w:rPr>
    </w:lvl>
    <w:lvl w:ilvl="8" w:tplc="91ACD892">
      <w:start w:val="1"/>
      <w:numFmt w:val="bullet"/>
      <w:lvlText w:val=""/>
      <w:lvlJc w:val="left"/>
      <w:pPr>
        <w:ind w:left="6840" w:hanging="360"/>
      </w:pPr>
      <w:rPr>
        <w:rFonts w:ascii="Wingdings" w:hAnsi="Wingdings" w:hint="default"/>
      </w:rPr>
    </w:lvl>
  </w:abstractNum>
  <w:abstractNum w:abstractNumId="10" w15:restartNumberingAfterBreak="0">
    <w:nsid w:val="72003E3D"/>
    <w:multiLevelType w:val="hybridMultilevel"/>
    <w:tmpl w:val="55B221C0"/>
    <w:lvl w:ilvl="0" w:tplc="E7C07904">
      <w:start w:val="1"/>
      <w:numFmt w:val="decimal"/>
      <w:lvlText w:val="%1."/>
      <w:lvlJc w:val="left"/>
      <w:pPr>
        <w:ind w:left="720" w:hanging="360"/>
      </w:pPr>
    </w:lvl>
    <w:lvl w:ilvl="1" w:tplc="FE244E36">
      <w:start w:val="1"/>
      <w:numFmt w:val="lowerLetter"/>
      <w:lvlText w:val="%2."/>
      <w:lvlJc w:val="left"/>
      <w:pPr>
        <w:ind w:left="1440" w:hanging="360"/>
      </w:pPr>
    </w:lvl>
    <w:lvl w:ilvl="2" w:tplc="F7FE7C3A">
      <w:start w:val="1"/>
      <w:numFmt w:val="lowerRoman"/>
      <w:lvlText w:val="%3."/>
      <w:lvlJc w:val="right"/>
      <w:pPr>
        <w:ind w:left="2160" w:hanging="180"/>
      </w:pPr>
    </w:lvl>
    <w:lvl w:ilvl="3" w:tplc="1C6CE0AA">
      <w:start w:val="1"/>
      <w:numFmt w:val="decimal"/>
      <w:lvlText w:val="%4."/>
      <w:lvlJc w:val="left"/>
      <w:pPr>
        <w:ind w:left="2880" w:hanging="360"/>
      </w:pPr>
    </w:lvl>
    <w:lvl w:ilvl="4" w:tplc="622CBEC0">
      <w:start w:val="1"/>
      <w:numFmt w:val="lowerLetter"/>
      <w:lvlText w:val="%5."/>
      <w:lvlJc w:val="left"/>
      <w:pPr>
        <w:ind w:left="3600" w:hanging="360"/>
      </w:pPr>
    </w:lvl>
    <w:lvl w:ilvl="5" w:tplc="414A0E06">
      <w:start w:val="1"/>
      <w:numFmt w:val="lowerRoman"/>
      <w:lvlText w:val="%6."/>
      <w:lvlJc w:val="right"/>
      <w:pPr>
        <w:ind w:left="4320" w:hanging="180"/>
      </w:pPr>
    </w:lvl>
    <w:lvl w:ilvl="6" w:tplc="39946062">
      <w:start w:val="1"/>
      <w:numFmt w:val="decimal"/>
      <w:lvlText w:val="%7."/>
      <w:lvlJc w:val="left"/>
      <w:pPr>
        <w:ind w:left="5040" w:hanging="360"/>
      </w:pPr>
    </w:lvl>
    <w:lvl w:ilvl="7" w:tplc="16366204">
      <w:start w:val="1"/>
      <w:numFmt w:val="lowerLetter"/>
      <w:lvlText w:val="%8."/>
      <w:lvlJc w:val="left"/>
      <w:pPr>
        <w:ind w:left="5760" w:hanging="360"/>
      </w:pPr>
    </w:lvl>
    <w:lvl w:ilvl="8" w:tplc="97ECE7F8">
      <w:start w:val="1"/>
      <w:numFmt w:val="lowerRoman"/>
      <w:lvlText w:val="%9."/>
      <w:lvlJc w:val="right"/>
      <w:pPr>
        <w:ind w:left="6480" w:hanging="180"/>
      </w:pPr>
    </w:lvl>
  </w:abstractNum>
  <w:abstractNum w:abstractNumId="11" w15:restartNumberingAfterBreak="0">
    <w:nsid w:val="7ABA77B3"/>
    <w:multiLevelType w:val="hybridMultilevel"/>
    <w:tmpl w:val="551A4E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 w:ilvl="0">
        <w:start w:val="1"/>
        <w:numFmt w:val="irohaFullWidth"/>
        <w:lvlText w:val=""/>
        <w:lvlJc w:val="left"/>
        <w:pPr>
          <w:ind w:left="0" w:firstLine="0"/>
        </w:pPr>
        <w:rPr>
          <w:rFonts w:ascii="Symbol" w:hAnsi="Symbol" w:cs="Symbol"/>
        </w:rPr>
      </w:lvl>
    </w:lvlOverride>
    <w:lvlOverride w:ilvl="1">
      <w:lvl w:ilvl="1">
        <w:start w:val="1"/>
        <w:numFmt w:val="irohaFullWidth"/>
        <w:lvlText w:val=""/>
        <w:lvlJc w:val="left"/>
        <w:pPr>
          <w:ind w:left="0" w:firstLine="0"/>
        </w:pPr>
        <w:rPr>
          <w:rFonts w:ascii="Symbol" w:hAnsi="Symbol" w:cs="Symbol"/>
        </w:rPr>
      </w:lvl>
    </w:lvlOverride>
    <w:lvlOverride w:ilvl="2">
      <w:lvl w:ilvl="2">
        <w:start w:val="1"/>
        <w:numFmt w:val="irohaFullWidth"/>
        <w:lvlText w:val=""/>
        <w:lvlJc w:val="left"/>
        <w:pPr>
          <w:ind w:left="0" w:firstLine="0"/>
        </w:pPr>
        <w:rPr>
          <w:rFonts w:ascii="Symbol" w:hAnsi="Symbol" w:cs="Symbol"/>
        </w:rPr>
      </w:lvl>
    </w:lvlOverride>
    <w:lvlOverride w:ilvl="3">
      <w:lvl w:ilvl="3">
        <w:start w:val="1"/>
        <w:numFmt w:val="irohaFullWidth"/>
        <w:lvlText w:val=""/>
        <w:lvlJc w:val="left"/>
        <w:pPr>
          <w:ind w:left="0" w:firstLine="0"/>
        </w:pPr>
        <w:rPr>
          <w:rFonts w:ascii="Symbol" w:hAnsi="Symbol" w:cs="Symbol"/>
        </w:rPr>
      </w:lvl>
    </w:lvlOverride>
    <w:lvlOverride w:ilvl="4">
      <w:lvl w:ilvl="4">
        <w:start w:val="1"/>
        <w:numFmt w:val="irohaFullWidth"/>
        <w:lvlText w:val=""/>
        <w:lvlJc w:val="left"/>
        <w:pPr>
          <w:ind w:left="0" w:firstLine="0"/>
        </w:pPr>
        <w:rPr>
          <w:rFonts w:ascii="Symbol" w:hAnsi="Symbol" w:cs="Symbol"/>
        </w:rPr>
      </w:lvl>
    </w:lvlOverride>
    <w:lvlOverride w:ilvl="5">
      <w:lvl w:ilvl="5">
        <w:start w:val="1"/>
        <w:numFmt w:val="irohaFullWidth"/>
        <w:lvlText w:val=""/>
        <w:lvlJc w:val="left"/>
        <w:pPr>
          <w:ind w:left="0" w:firstLine="0"/>
        </w:pPr>
        <w:rPr>
          <w:rFonts w:ascii="Symbol" w:hAnsi="Symbol" w:cs="Symbol"/>
        </w:rPr>
      </w:lvl>
    </w:lvlOverride>
    <w:lvlOverride w:ilvl="6">
      <w:lvl w:ilvl="6">
        <w:start w:val="1"/>
        <w:numFmt w:val="irohaFullWidth"/>
        <w:lvlText w:val=""/>
        <w:lvlJc w:val="left"/>
        <w:pPr>
          <w:ind w:left="0" w:firstLine="0"/>
        </w:pPr>
        <w:rPr>
          <w:rFonts w:ascii="Symbol" w:hAnsi="Symbol" w:cs="Symbol"/>
        </w:rPr>
      </w:lvl>
    </w:lvlOverride>
    <w:lvlOverride w:ilvl="7">
      <w:lvl w:ilvl="7">
        <w:start w:val="1"/>
        <w:numFmt w:val="irohaFullWidth"/>
        <w:lvlText w:val=""/>
        <w:lvlJc w:val="left"/>
        <w:pPr>
          <w:ind w:left="0" w:firstLine="0"/>
        </w:pPr>
        <w:rPr>
          <w:rFonts w:ascii="Symbol" w:hAnsi="Symbol" w:cs="Symbol"/>
        </w:rPr>
      </w:lvl>
    </w:lvlOverride>
    <w:lvlOverride w:ilvl="8">
      <w:lvl w:ilvl="8">
        <w:start w:val="1"/>
        <w:numFmt w:val="irohaFullWidth"/>
        <w:lvlText w:val=""/>
        <w:lvlJc w:val="left"/>
        <w:pPr>
          <w:ind w:left="0" w:firstLine="0"/>
        </w:pPr>
        <w:rPr>
          <w:rFonts w:ascii="Symbol" w:hAnsi="Symbol" w:cs="Symbol"/>
        </w:rPr>
      </w:lvl>
    </w:lvlOverride>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771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77192&amp;lt;/CaseID&amp;gt;_x000d__x000a_        &amp;lt;CaseMonth&amp;gt;6&amp;lt;/CaseMonth&amp;gt;_x000d__x000a_        &amp;lt;CaseYear&amp;gt;2023&amp;lt;/CaseYear&amp;gt;_x000d__x000a_        &amp;lt;CaseNumber&amp;gt;63058&amp;lt;/CaseNumber&amp;gt;_x000d__x000a_        &amp;lt;NumeratorGroupID&amp;gt;1&amp;lt;/NumeratorGroupID&amp;gt;_x000d__x000a_        &amp;lt;CaseName&amp;gt;עשור נ&amp;#39; מלכה&amp;lt;/CaseName&amp;gt;_x000d__x000a_        &amp;lt;CourtID&amp;gt;26&amp;lt;/CourtID&amp;gt;_x000d__x000a_        &amp;lt;CaseTypeID&amp;gt;10038&amp;lt;/CaseTypeID&amp;gt;_x000d__x000a_        &amp;lt;CaseInterestID&amp;gt;148&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058-06-23&amp;lt;/CaseDisplayIdentifier&amp;gt;_x000d__x000a_        &amp;lt;CaseTypeDesc&amp;gt;ע&amp;quot;ר&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6-26T15:09: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77192&amp;lt;/CaseID&amp;gt;_x000d__x000a_        &amp;lt;CaseMonth&amp;gt;6&amp;lt;/CaseMonth&amp;gt;_x000d__x000a_        &amp;lt;CaseYear&amp;gt;2023&amp;lt;/CaseYear&amp;gt;_x000d__x000a_        &amp;lt;CaseNumber&amp;gt;63058&amp;lt;/CaseNumber&amp;gt;_x000d__x000a_        &amp;lt;NumeratorGroupID&amp;gt;1&amp;lt;/NumeratorGroupID&amp;gt;_x000d__x000a_        &amp;lt;CaseName&amp;gt;עשור נ&amp;#39; מלכה&amp;lt;/CaseName&amp;gt;_x000d__x000a_        &amp;lt;CourtID&amp;gt;26&amp;lt;/CourtID&amp;gt;_x000d__x000a_        &amp;lt;CaseTypeID&amp;gt;10038&amp;lt;/CaseTypeID&amp;gt;_x000d__x000a_        &amp;lt;CaseInterestID&amp;gt;148&amp;lt;/CaseInterestID&amp;gt;_x000d__x000a_        &amp;lt;CaseJudgeName&amp;gt;אלה פ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058-06-23&amp;lt;/CaseDisplayIdentifier&amp;gt;_x000d__x000a_        &amp;lt;CaseTypeDesc&amp;gt;ע&amp;quot;ר&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06-26T15:09: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81841&amp;lt;/DecisionID&amp;gt;_x000d__x000a_        &amp;lt;DecisionName&amp;gt;פסק דין  שניתנה ע&amp;quot;י  אלה פטל&amp;lt;/DecisionName&amp;gt;_x000d__x000a_        &amp;lt;DecisionStatusID&amp;gt;1&amp;lt;/DecisionStatusID&amp;gt;_x000d__x000a_        &amp;lt;DecisionStatusChangeDate&amp;gt;2024-08-08T18:18:52.19+03:00&amp;lt;/DecisionStatusChangeDate&amp;gt;_x000d__x000a_        &amp;lt;DecisionSignatureDate&amp;gt;2024-08-01T10:37:00.827+03:00&amp;lt;/DecisionSignatureDate&amp;gt;_x000d__x000a_        &amp;lt;DecisionSignatureUserID&amp;gt;035710987@GOV.IL&amp;lt;/DecisionSignatureUserID&amp;gt;_x000d__x000a_        &amp;lt;DecisionCreateDate&amp;gt;2024-08-01T10:37:34.75+03:00&amp;lt;/DecisionCreateDate&amp;gt;_x000d__x000a_        &amp;lt;DecisionChangeDate&amp;gt;2024-08-08T18:18:52.363+03:00&amp;lt;/DecisionChangeDate&amp;gt;_x000d__x000a_        &amp;lt;DecisionChangeUserID&amp;gt;0357109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3583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71098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710987@GOV.IL&amp;lt;/DecisionCreationUserID&amp;gt;_x000d__x000a_        &amp;lt;DecisionDisplayName&amp;gt;פסק דין  שניתנה ע&amp;quot;י  אלה פטל&amp;lt;/DecisionDisplayName&amp;gt;_x000d__x000a_        &amp;lt;IsScanned&amp;gt;false&amp;lt;/IsScanned&amp;gt;_x000d__x000a_        &amp;lt;DecisionSignatureUserName&amp;gt;אלה פ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3181841&amp;lt;/DecisionID&amp;gt;_x000d__x000a_        &amp;lt;CaseID&amp;gt;80377192&amp;lt;/CaseID&amp;gt;_x000d__x000a_        &amp;lt;IsOriginal&amp;gt;true&amp;lt;/IsOriginal&amp;gt;_x000d__x000a_        &amp;lt;IsDeleted&amp;gt;false&amp;lt;/IsDeleted&amp;gt;_x000d__x000a_        &amp;lt;CaseName&amp;gt;עשור נ&amp;#39; מלכה&amp;lt;/CaseName&amp;gt;_x000d__x000a_        &amp;lt;CaseDisplayIdentifier&amp;gt;63058-06-23 ע&amp;quot;ר&amp;lt;/CaseDisplayIdentifier&amp;gt;_x000d__x000a_      &amp;lt;/dt_DecisionCase&amp;gt;_x000d__x000a_    &amp;lt;/DecisionDS&amp;gt;_x000d__x000a_  &amp;lt;/diffgr:diffgram&amp;gt;_x000d__x000a_&amp;lt;/DecisionDS&amp;gt;"/>
    <w:docVar w:name="DecisionID" w:val="153181841"/>
    <w:docVar w:name="WordClientAssemblyName" w:val="NGCS.Decision.ClientWordBL"/>
    <w:docVar w:name="WordClientClassName" w:val="NGCS.Decision.ClientWordBL.DecisionClient"/>
  </w:docVars>
  <w:rsids>
    <w:rsidRoot w:val="00694556"/>
    <w:rsid w:val="00005C8B"/>
    <w:rsid w:val="000146C2"/>
    <w:rsid w:val="00016C35"/>
    <w:rsid w:val="00022361"/>
    <w:rsid w:val="000258FD"/>
    <w:rsid w:val="00053B34"/>
    <w:rsid w:val="000564AB"/>
    <w:rsid w:val="00073F90"/>
    <w:rsid w:val="000875C2"/>
    <w:rsid w:val="000A60B5"/>
    <w:rsid w:val="000B0B87"/>
    <w:rsid w:val="000B1978"/>
    <w:rsid w:val="000B2627"/>
    <w:rsid w:val="000C3CB6"/>
    <w:rsid w:val="000D4A02"/>
    <w:rsid w:val="000F116A"/>
    <w:rsid w:val="001072A9"/>
    <w:rsid w:val="00117C42"/>
    <w:rsid w:val="00121F97"/>
    <w:rsid w:val="001277D7"/>
    <w:rsid w:val="00132017"/>
    <w:rsid w:val="00135ED3"/>
    <w:rsid w:val="00137D8B"/>
    <w:rsid w:val="0014234E"/>
    <w:rsid w:val="00145A87"/>
    <w:rsid w:val="00180256"/>
    <w:rsid w:val="001B5FB5"/>
    <w:rsid w:val="001B6775"/>
    <w:rsid w:val="001C01D8"/>
    <w:rsid w:val="001C4003"/>
    <w:rsid w:val="001C7902"/>
    <w:rsid w:val="001E03B1"/>
    <w:rsid w:val="001F5474"/>
    <w:rsid w:val="00231787"/>
    <w:rsid w:val="002328D6"/>
    <w:rsid w:val="002352F7"/>
    <w:rsid w:val="002512B5"/>
    <w:rsid w:val="00251DCA"/>
    <w:rsid w:val="00264A65"/>
    <w:rsid w:val="0027277D"/>
    <w:rsid w:val="00272D94"/>
    <w:rsid w:val="002B1AB3"/>
    <w:rsid w:val="002E529E"/>
    <w:rsid w:val="002E679F"/>
    <w:rsid w:val="00304171"/>
    <w:rsid w:val="00304504"/>
    <w:rsid w:val="003121CE"/>
    <w:rsid w:val="0031578B"/>
    <w:rsid w:val="00331735"/>
    <w:rsid w:val="00352472"/>
    <w:rsid w:val="00380146"/>
    <w:rsid w:val="00381D3A"/>
    <w:rsid w:val="003823DA"/>
    <w:rsid w:val="00383A46"/>
    <w:rsid w:val="003A5618"/>
    <w:rsid w:val="003C114E"/>
    <w:rsid w:val="003D3F4D"/>
    <w:rsid w:val="004038F7"/>
    <w:rsid w:val="0042292F"/>
    <w:rsid w:val="0043595F"/>
    <w:rsid w:val="00436227"/>
    <w:rsid w:val="0047645A"/>
    <w:rsid w:val="00495CB4"/>
    <w:rsid w:val="00496EDF"/>
    <w:rsid w:val="004C0326"/>
    <w:rsid w:val="004D49A3"/>
    <w:rsid w:val="004D50AC"/>
    <w:rsid w:val="004E6E3C"/>
    <w:rsid w:val="005124F1"/>
    <w:rsid w:val="0051626F"/>
    <w:rsid w:val="00530BAD"/>
    <w:rsid w:val="005347D0"/>
    <w:rsid w:val="00541598"/>
    <w:rsid w:val="00547DB7"/>
    <w:rsid w:val="00561AC0"/>
    <w:rsid w:val="00567324"/>
    <w:rsid w:val="00574852"/>
    <w:rsid w:val="005A35FF"/>
    <w:rsid w:val="005A71FC"/>
    <w:rsid w:val="005B0F49"/>
    <w:rsid w:val="005C75AA"/>
    <w:rsid w:val="005C7EC6"/>
    <w:rsid w:val="005D4BDB"/>
    <w:rsid w:val="005E2103"/>
    <w:rsid w:val="005E6E7A"/>
    <w:rsid w:val="00622BAA"/>
    <w:rsid w:val="00625C89"/>
    <w:rsid w:val="00633C4F"/>
    <w:rsid w:val="006576B1"/>
    <w:rsid w:val="00671BD5"/>
    <w:rsid w:val="006805C1"/>
    <w:rsid w:val="006816EC"/>
    <w:rsid w:val="00694556"/>
    <w:rsid w:val="006B2F95"/>
    <w:rsid w:val="006E11DC"/>
    <w:rsid w:val="006E1A53"/>
    <w:rsid w:val="007056AA"/>
    <w:rsid w:val="00723554"/>
    <w:rsid w:val="007242B7"/>
    <w:rsid w:val="00744F41"/>
    <w:rsid w:val="007A24FE"/>
    <w:rsid w:val="007A35AA"/>
    <w:rsid w:val="007C74B6"/>
    <w:rsid w:val="007E3DE2"/>
    <w:rsid w:val="007F1048"/>
    <w:rsid w:val="00820005"/>
    <w:rsid w:val="00820DD9"/>
    <w:rsid w:val="00846D27"/>
    <w:rsid w:val="008610A7"/>
    <w:rsid w:val="00870209"/>
    <w:rsid w:val="008706F1"/>
    <w:rsid w:val="00891F54"/>
    <w:rsid w:val="008A5D7F"/>
    <w:rsid w:val="008D070A"/>
    <w:rsid w:val="008D6D0F"/>
    <w:rsid w:val="008E1332"/>
    <w:rsid w:val="008F753B"/>
    <w:rsid w:val="00903896"/>
    <w:rsid w:val="009140A3"/>
    <w:rsid w:val="00927813"/>
    <w:rsid w:val="00944D13"/>
    <w:rsid w:val="00957C90"/>
    <w:rsid w:val="00961BD0"/>
    <w:rsid w:val="00962C4F"/>
    <w:rsid w:val="00972C42"/>
    <w:rsid w:val="009A43E9"/>
    <w:rsid w:val="009B70F6"/>
    <w:rsid w:val="009C1F9E"/>
    <w:rsid w:val="009C358E"/>
    <w:rsid w:val="009E0263"/>
    <w:rsid w:val="00A03CA4"/>
    <w:rsid w:val="00A267CF"/>
    <w:rsid w:val="00A342BD"/>
    <w:rsid w:val="00A43458"/>
    <w:rsid w:val="00A54361"/>
    <w:rsid w:val="00A90A1D"/>
    <w:rsid w:val="00AC4E19"/>
    <w:rsid w:val="00AF1ED6"/>
    <w:rsid w:val="00B32C61"/>
    <w:rsid w:val="00B368FE"/>
    <w:rsid w:val="00B5259E"/>
    <w:rsid w:val="00B54B16"/>
    <w:rsid w:val="00B711AE"/>
    <w:rsid w:val="00B80CBD"/>
    <w:rsid w:val="00B935F3"/>
    <w:rsid w:val="00BC3369"/>
    <w:rsid w:val="00BE0839"/>
    <w:rsid w:val="00BE6848"/>
    <w:rsid w:val="00BF77EE"/>
    <w:rsid w:val="00C06EE0"/>
    <w:rsid w:val="00C123C6"/>
    <w:rsid w:val="00C242B4"/>
    <w:rsid w:val="00C32E0F"/>
    <w:rsid w:val="00C42BF9"/>
    <w:rsid w:val="00C45179"/>
    <w:rsid w:val="00C81514"/>
    <w:rsid w:val="00C83E56"/>
    <w:rsid w:val="00CA3DE2"/>
    <w:rsid w:val="00CC63CE"/>
    <w:rsid w:val="00CC7B66"/>
    <w:rsid w:val="00CD3999"/>
    <w:rsid w:val="00CE693C"/>
    <w:rsid w:val="00CE73AB"/>
    <w:rsid w:val="00D319B3"/>
    <w:rsid w:val="00D36A71"/>
    <w:rsid w:val="00D37A49"/>
    <w:rsid w:val="00D53924"/>
    <w:rsid w:val="00D55BB8"/>
    <w:rsid w:val="00D60849"/>
    <w:rsid w:val="00D74C9D"/>
    <w:rsid w:val="00D901EE"/>
    <w:rsid w:val="00D96D8C"/>
    <w:rsid w:val="00DA755B"/>
    <w:rsid w:val="00DD337E"/>
    <w:rsid w:val="00E00B6F"/>
    <w:rsid w:val="00E10D72"/>
    <w:rsid w:val="00E17540"/>
    <w:rsid w:val="00E17FF7"/>
    <w:rsid w:val="00E23159"/>
    <w:rsid w:val="00E44DDF"/>
    <w:rsid w:val="00E54642"/>
    <w:rsid w:val="00E70113"/>
    <w:rsid w:val="00E81737"/>
    <w:rsid w:val="00E97908"/>
    <w:rsid w:val="00EB79FB"/>
    <w:rsid w:val="00ED06DE"/>
    <w:rsid w:val="00ED1301"/>
    <w:rsid w:val="00EE77BD"/>
    <w:rsid w:val="00EF3ED0"/>
    <w:rsid w:val="00EF6E3A"/>
    <w:rsid w:val="00F16AF1"/>
    <w:rsid w:val="00F17E56"/>
    <w:rsid w:val="00F22CF1"/>
    <w:rsid w:val="00F25E50"/>
    <w:rsid w:val="00F34953"/>
    <w:rsid w:val="00FB3C14"/>
    <w:rsid w:val="00FD4EAE"/>
    <w:rsid w:val="00FE5937"/>
    <w:rsid w:val="00FE7F3A"/>
    <w:rsid w:val="00FF10E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81737"/>
    <w:pPr>
      <w:spacing w:after="160" w:line="254" w:lineRule="auto"/>
      <w:ind w:left="720"/>
      <w:contextualSpacing/>
    </w:pPr>
    <w:rPr>
      <w:rFonts w:ascii="Calibri" w:eastAsia="Calibri" w:hAnsi="Calibri" w:cs="Arial"/>
      <w:noProof w:val="0"/>
      <w:sz w:val="22"/>
      <w:szCs w:val="22"/>
    </w:rPr>
  </w:style>
  <w:style w:type="paragraph" w:customStyle="1" w:styleId="10">
    <w:name w:val="פיסקת רשימה1"/>
    <w:basedOn w:val="a"/>
    <w:uiPriority w:val="34"/>
    <w:qFormat/>
    <w:rsid w:val="008D070A"/>
    <w:pPr>
      <w:ind w:left="720"/>
      <w:contextualSpacing/>
    </w:pPr>
  </w:style>
  <w:style w:type="character" w:styleId="Hyperlink">
    <w:name w:val="Hyperlink"/>
    <w:uiPriority w:val="99"/>
    <w:semiHidden/>
    <w:unhideWhenUsed/>
    <w:rsid w:val="002512B5"/>
    <w:rPr>
      <w:color w:val="0000FF"/>
      <w:u w:val="single"/>
    </w:rPr>
  </w:style>
  <w:style w:type="character" w:customStyle="1" w:styleId="default">
    <w:name w:val="default"/>
    <w:rsid w:val="00FE7F3A"/>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86489">
      <w:bodyDiv w:val="1"/>
      <w:marLeft w:val="0"/>
      <w:marRight w:val="0"/>
      <w:marTop w:val="0"/>
      <w:marBottom w:val="0"/>
      <w:divBdr>
        <w:top w:val="none" w:sz="0" w:space="0" w:color="auto"/>
        <w:left w:val="none" w:sz="0" w:space="0" w:color="auto"/>
        <w:bottom w:val="none" w:sz="0" w:space="0" w:color="auto"/>
        <w:right w:val="none" w:sz="0" w:space="0" w:color="auto"/>
      </w:divBdr>
    </w:div>
    <w:div w:id="153298651">
      <w:bodyDiv w:val="1"/>
      <w:marLeft w:val="0"/>
      <w:marRight w:val="0"/>
      <w:marTop w:val="0"/>
      <w:marBottom w:val="0"/>
      <w:divBdr>
        <w:top w:val="none" w:sz="0" w:space="0" w:color="auto"/>
        <w:left w:val="none" w:sz="0" w:space="0" w:color="auto"/>
        <w:bottom w:val="none" w:sz="0" w:space="0" w:color="auto"/>
        <w:right w:val="none" w:sz="0" w:space="0" w:color="auto"/>
      </w:divBdr>
    </w:div>
    <w:div w:id="180121721">
      <w:bodyDiv w:val="1"/>
      <w:marLeft w:val="0"/>
      <w:marRight w:val="0"/>
      <w:marTop w:val="0"/>
      <w:marBottom w:val="0"/>
      <w:divBdr>
        <w:top w:val="none" w:sz="0" w:space="0" w:color="auto"/>
        <w:left w:val="none" w:sz="0" w:space="0" w:color="auto"/>
        <w:bottom w:val="none" w:sz="0" w:space="0" w:color="auto"/>
        <w:right w:val="none" w:sz="0" w:space="0" w:color="auto"/>
      </w:divBdr>
    </w:div>
    <w:div w:id="472912692">
      <w:bodyDiv w:val="1"/>
      <w:marLeft w:val="0"/>
      <w:marRight w:val="0"/>
      <w:marTop w:val="0"/>
      <w:marBottom w:val="0"/>
      <w:divBdr>
        <w:top w:val="none" w:sz="0" w:space="0" w:color="auto"/>
        <w:left w:val="none" w:sz="0" w:space="0" w:color="auto"/>
        <w:bottom w:val="none" w:sz="0" w:space="0" w:color="auto"/>
        <w:right w:val="none" w:sz="0" w:space="0" w:color="auto"/>
      </w:divBdr>
    </w:div>
    <w:div w:id="960500398">
      <w:bodyDiv w:val="1"/>
      <w:marLeft w:val="0"/>
      <w:marRight w:val="0"/>
      <w:marTop w:val="0"/>
      <w:marBottom w:val="0"/>
      <w:divBdr>
        <w:top w:val="none" w:sz="0" w:space="0" w:color="auto"/>
        <w:left w:val="none" w:sz="0" w:space="0" w:color="auto"/>
        <w:bottom w:val="none" w:sz="0" w:space="0" w:color="auto"/>
        <w:right w:val="none" w:sz="0" w:space="0" w:color="auto"/>
      </w:divBdr>
    </w:div>
    <w:div w:id="1056010302">
      <w:bodyDiv w:val="1"/>
      <w:marLeft w:val="0"/>
      <w:marRight w:val="0"/>
      <w:marTop w:val="0"/>
      <w:marBottom w:val="0"/>
      <w:divBdr>
        <w:top w:val="none" w:sz="0" w:space="0" w:color="auto"/>
        <w:left w:val="none" w:sz="0" w:space="0" w:color="auto"/>
        <w:bottom w:val="none" w:sz="0" w:space="0" w:color="auto"/>
        <w:right w:val="none" w:sz="0" w:space="0" w:color="auto"/>
      </w:divBdr>
    </w:div>
    <w:div w:id="115071229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07467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1532/11.b"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71532/11.b"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1532/11.b"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71532/11.b"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A5459C"/>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יוסף שאבי</FullName>
        <FirstName>יוסף</FirstName>
        <LastName>שאבי</LastName>
        <PartyPropertyName/>
        <AuthenticationTypeAndNumber>מ.ר. 86713</AuthenticationTypeAndNumber>
        <RepresentatedOrRepresentativesNames>טליה מלכה</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271628850</CasePartyID>
        <PartyTypeID>2</PartyTypeID>
        <ActivityStatusID>1</ActivityStatusID>
        <PartyAliasID>23</PartyAliasID>
        <PartyAliasName>בא כוח משיבים</PartyAliasName>
        <LegalEntityID>78771665</LegalEntityID>
        <CaseLegalEntityID>129323422</CaseLegalEntityID>
        <AuthenticationTypeID>4</AuthenticationTypeID>
        <AuthenticationTypeName>מ.ר.</AuthenticationTypeName>
        <LegalEntityNumber>86713</LegalEntityNumber>
        <IsMainPartyType>true</IsMainPartyType>
        <CaseDisplayIdentifier>63058-06-23</CaseDisplayIdentifier>
        <CaseTypeID>10038</CaseTypeID>
        <CaseTypeName>ערעור על החלטת רשם (ע"ר)</CaseTypeName>
        <CaseName>עשור נ' מלכה</CaseName>
        <FullAddress>שיבת ציון 2 חיפה </FullAddress>
        <EmailAddress>yosefsadv@gmail.com</EmailAddress>
        <MotionID>0</MotionID>
        <CasePleaID>0</CasePleaID>
        <LinkedCaseID>0</LinkedCaseID>
        <PartyID>2</PartyID>
        <CasePartyCategoryID>2</CasePartyCategoryID>
        <LegalEntityAddressID>83768839</LegalEntityAddressID>
        <LegalEntityEmailAddressID>68055112</LegalEntityEmailAddressID>
        <PleaTypeID>6</PleaTypeID>
        <LawyerOfficeName>משרד עו"ד יוסף שאבי</LawyerOfficeName>
        <LawyerOfficeID>78771666</LawyerOfficeID>
        <GroupPartyAlias/>
        <IsConverted>false</IsConverted>
        <LegalEntityNameID>89190024</LegalEntityNameID>
        <RepresentatedNamesOfAssistant/>
        <LegalEntityTypeID>4</LegalEntityTypeID>
        <IsVerdictExists>false</IsVerdictExists>
        <IsAsirAzir>false</IsAsirAzir>
        <MainAndSecSpec/>
        <IsPublicationProhibited>false</IsPublicationProhibited>
        <PublicationProhibitedFullName>יוסף שאבי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 קלינגהופר</FullName>
        <FirstName>אבי</FirstName>
        <LastName>קלינגהופר</LastName>
        <PartyPropertyName/>
        <AuthenticationTypeAndNumber>מ.ר. 26024</AuthenticationTypeAndNumber>
        <RepresentatedOrRepresentativesNames>סמי עשור</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257552572</CasePartyID>
        <PartyTypeID>2</PartyTypeID>
        <ActivityStatusID>1</ActivityStatusID>
        <PartyAliasID>24</PartyAliasID>
        <PartyAliasName>בא כוח מערערים</PartyAliasName>
        <OrdinalNumber>1</OrdinalNumber>
        <LegalEntityID>388182</LegalEntityID>
        <CaseLegalEntityID>124925898</CaseLegalEntityID>
        <AuthenticationTypeID>4</AuthenticationTypeID>
        <AuthenticationTypeName>מ.ר.</AuthenticationTypeName>
        <LegalEntityNumber>26024</LegalEntityNumber>
        <IsMainPartyType>true</IsMainPartyType>
        <CaseDisplayIdentifier>63058-06-23</CaseDisplayIdentifier>
        <CaseTypeID>10038</CaseTypeID>
        <CaseTypeName>ערעור על החלטת רשם (ע"ר)</CaseTypeName>
        <CaseName>עשור נ' מלכה</CaseName>
        <FullAddress>פל-ים 7 חיפה </FullAddress>
        <EmailAddress>kdlaw1000@gamil.com</EmailAddress>
        <MotionID>0</MotionID>
        <CasePleaID>0</CasePleaID>
        <LinkedCaseID>0</LinkedCaseID>
        <PartyID>1</PartyID>
        <CasePartyCategoryID>2</CasePartyCategoryID>
        <LegalEntityAddressID>84509321</LegalEntityAddressID>
        <LegalEntityEmailAddressID>68090159</LegalEntityEmailAddressID>
        <PleaTypeID>6</PleaTypeID>
        <GroupPartyAlias/>
        <IsConverted>false</IsConverted>
        <LegalEntityNameID>9166</LegalEntityNameID>
        <RepresentatedNamesOfAssistant/>
        <LegalEntityTypeID>4</LegalEntityTypeID>
        <IsVerdictExists>false</IsVerdictExists>
        <IsAsirAzir>false</IsAsirAzir>
        <MainAndSecSpec/>
        <IsPublicationProhibited>false</IsPublicationProhibited>
        <PublicationProhibitedFullName>אבי קלינגהופר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סמי עשור</FullName>
        <FirstName>סמי</FirstName>
        <LastName>עשור</LastName>
        <PartyPropertyName/>
        <AuthenticationTypeAndNumber>ת"ז 058330945</AuthenticationTypeAndNumber>
        <RepresentatedOrRepresentativesNames>אבי קלינגהופר</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257552571</CasePartyID>
        <PartyTypeID>1</PartyTypeID>
        <ActivityStatusID>1</ActivityStatusID>
        <PartyAliasID>5</PartyAliasID>
        <PartyAliasName>מערער</PartyAliasName>
        <OrdinalNumber>1</OrdinalNumber>
        <LegalEntityID>6203984</LegalEntityID>
        <CaseLegalEntityID>124925897</CaseLegalEntityID>
        <AuthenticationTypeID>1</AuthenticationTypeID>
        <AuthenticationTypeName>ת"ז</AuthenticationTypeName>
        <LegalEntityNumber>058330945</LegalEntityNumber>
        <IsMainPartyType>true</IsMainPartyType>
        <CaseDisplayIdentifier>63058-06-23</CaseDisplayIdentifier>
        <CaseTypeID>10038</CaseTypeID>
        <CaseTypeName>ערעור על החלטת רשם (ע"ר)</CaseTypeName>
        <CaseName>עשור נ' מלכה</CaseName>
        <FullAddress/>
        <MotionID>0</MotionID>
        <CasePleaID>0</CasePleaID>
        <FatherName>מכלוף</FatherName>
        <LinkedCaseID>0</LinkedCaseID>
        <PartyID>1</PartyID>
        <CasePartyCategoryID>2</CasePartyCategoryID>
        <GrandfatherName/>
        <DrivingLicenseNumber>5013849</DrivingLicenseNumber>
        <PleaTypeID>6</PleaTypeID>
        <GroupPartyAlias>מערערים</GroupPartyAlias>
        <IsConverted>false</IsConverted>
        <LegalEntityRegisteredNameID>6080620</LegalEntityRegisteredNameID>
        <LegalEntityNameID>95083123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 עשור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טליה מלכה</FullName>
        <FirstName>טליה</FirstName>
        <LastName>מלכה</LastName>
        <PartyPropertyName/>
        <AuthenticationTypeAndNumber>ת"ז 023007248</AuthenticationTypeAndNumber>
        <RepresentatedOrRepresentativesNames>יוסף שאבי</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257552573</CasePartyID>
        <PartyTypeID>1</PartyTypeID>
        <ActivityStatusID>1</ActivityStatusID>
        <PartyAliasID>4</PartyAliasID>
        <PartyAliasName>משיב</PartyAliasName>
        <OrdinalNumber>1</OrdinalNumber>
        <LegalEntityID>6127668</LegalEntityID>
        <CaseLegalEntityID>124925899</CaseLegalEntityID>
        <AuthenticationTypeID>1</AuthenticationTypeID>
        <AuthenticationTypeName>ת"ז</AuthenticationTypeName>
        <LegalEntityNumber>023007248</LegalEntityNumber>
        <IsMainPartyType>true</IsMainPartyType>
        <CaseDisplayIdentifier>63058-06-23</CaseDisplayIdentifier>
        <CaseTypeID>10038</CaseTypeID>
        <CaseTypeName>ערעור על החלטת רשם (ע"ר)</CaseTypeName>
        <CaseName>עשור נ' מלכה</CaseName>
        <FullAddress>פולד ברכה  4 חיפה דירה</FullAddress>
        <EmailAddress>talimalka1234@hotmail.com</EmailAddress>
        <MotionID>0</MotionID>
        <CasePleaID>0</CasePleaID>
        <FatherName>שלמה</FatherName>
        <LinkedCaseID>0</LinkedCaseID>
        <PartyID>2</PartyID>
        <CasePartyCategoryID>2</CasePartyCategoryID>
        <LegalEntityAddressID>88841899</LegalEntityAddressID>
        <LegalEntityEmailAddressID>68382002</LegalEntityEmailAddressID>
        <PleaTypeID>6</PleaTypeID>
        <GroupPartyAlias>משיבים</GroupPartyAlias>
        <IsConverted>false</IsConverted>
        <LegalEntityRegisteredNameID>9855526</LegalEntityRegisteredNameID>
        <LegalEntityNameID>95083124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מלכה</PublicationProhibitedFullName>
      </CaseParties>
    </CasePartiesSelectionDS>
    <DecisionName>פסק דין  שניתנה ע"י  אלה פטל</DecisionName>
    <CourtDisplayName>בית משפט לענייני משפחה בחיפה</CourtDisplayName>
    <IsCaseJudgePanel>false</IsCaseJudgePanel>
    <DecisionSignatureDate>2024-08-01T10:37:00.825493+03:00</DecisionSignatureDate>
    <OpenCaseDate>2023-06-26T15:09:00+03:00</OpenCaseDate>
    <CaseFeeSum>0.000</CaseFeeSum>
    <ExternalCaseNumber>החלטה</ExternalCaseNumber>
    <DecisionTypeID>2</DecisionTypeID>
    <DecisionSignatureUserName>אלה פטל</DecisionSignatureUserName>
    <DecisionSignatureDateHebrew>2024-08-01T10:37:00.825493+03:00</DecisionSignatureDateHebrew>
    <DecisionWriterID>035710987@GOV.IL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עשור נ' מלכה</CaseName>
    <DecisionNumberInCase>11</DecisionNumberInCase>
  </dt_Decision>
  <dt_DecisionCase>
    <DecisionID>0</DecisionID>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יוסף שאבי</FullName>
        <FirstName>יוסף</FirstName>
        <LastName>שאבי</LastName>
        <PartyPropertyName/>
        <AuthenticationTypeAndNumber>מ.ר. 86713</AuthenticationTypeAndNumber>
        <RepresentatedOrRepresentativesNames>טליה מלכה</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271628850</CasePartyID>
        <PartyTypeID>2</PartyTypeID>
        <ActivityStatusID>1</ActivityStatusID>
        <PartyAliasID>23</PartyAliasID>
        <PartyAliasName>בא כוח משיבים</PartyAliasName>
        <LegalEntityID>78771665</LegalEntityID>
        <CaseLegalEntityID>129323422</CaseLegalEntityID>
        <AuthenticationTypeID>4</AuthenticationTypeID>
        <AuthenticationTypeName>מ.ר.</AuthenticationTypeName>
        <LegalEntityNumber>86713</LegalEntityNumber>
        <IsMainPartyType>true</IsMainPartyType>
        <CaseDisplayIdentifier>63058-06-23</CaseDisplayIdentifier>
        <CaseTypeID>10038</CaseTypeID>
        <CaseTypeName>ערעור על החלטת רשם (ע"ר)</CaseTypeName>
        <CaseName>עשור נ' מלכה</CaseName>
        <FullAddress>שיבת ציון 2 חיפה </FullAddress>
        <EmailAddress>yosefsadv@gmail.com</EmailAddress>
        <MotionID>0</MotionID>
        <CasePleaID>0</CasePleaID>
        <LinkedCaseID>0</LinkedCaseID>
        <PartyID>2</PartyID>
        <CasePartyCategoryID>2</CasePartyCategoryID>
        <LegalEntityAddressID>83768839</LegalEntityAddressID>
        <LegalEntityEmailAddressID>68055112</LegalEntityEmailAddressID>
        <PleaTypeID>6</PleaTypeID>
        <LawyerOfficeName>משרד עו"ד יוסף שאבי</LawyerOfficeName>
        <LawyerOfficeID>78771666</LawyerOfficeID>
        <GroupPartyAlias/>
        <IsConverted>false</IsConverted>
        <LegalEntityNameID>89190024</LegalEntityNameID>
        <RepresentatedNamesOfAssistant/>
        <LegalEntityTypeID>4</LegalEntityTypeID>
        <IsVerdictExists>false</IsVerdictExists>
        <IsAsirAzir>false</IsAsirAzir>
        <MainAndSecSpec/>
        <IsPublicationProhibited>false</IsPublicationProhibited>
        <PublicationProhibitedFullName>יוסף שאבי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 קלינגהופר</FullName>
        <FirstName>אבי</FirstName>
        <LastName>קלינגהופר</LastName>
        <PartyPropertyName/>
        <AuthenticationTypeAndNumber>מ.ר. 26024</AuthenticationTypeAndNumber>
        <RepresentatedOrRepresentativesNames>סמי עשור</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257552572</CasePartyID>
        <PartyTypeID>2</PartyTypeID>
        <ActivityStatusID>1</ActivityStatusID>
        <PartyAliasID>24</PartyAliasID>
        <PartyAliasName>בא כוח מערערים</PartyAliasName>
        <OrdinalNumber>1</OrdinalNumber>
        <LegalEntityID>388182</LegalEntityID>
        <CaseLegalEntityID>124925898</CaseLegalEntityID>
        <AuthenticationTypeID>4</AuthenticationTypeID>
        <AuthenticationTypeName>מ.ר.</AuthenticationTypeName>
        <LegalEntityNumber>26024</LegalEntityNumber>
        <IsMainPartyType>true</IsMainPartyType>
        <CaseDisplayIdentifier>63058-06-23</CaseDisplayIdentifier>
        <CaseTypeID>10038</CaseTypeID>
        <CaseTypeName>ערעור על החלטת רשם (ע"ר)</CaseTypeName>
        <CaseName>עשור נ' מלכה</CaseName>
        <FullAddress>פל-ים 7 חיפה </FullAddress>
        <EmailAddress>kdlaw1000@gamil.com</EmailAddress>
        <MotionID>0</MotionID>
        <CasePleaID>0</CasePleaID>
        <LinkedCaseID>0</LinkedCaseID>
        <PartyID>1</PartyID>
        <CasePartyCategoryID>2</CasePartyCategoryID>
        <LegalEntityAddressID>84509321</LegalEntityAddressID>
        <LegalEntityEmailAddressID>68090159</LegalEntityEmailAddressID>
        <PleaTypeID>6</PleaTypeID>
        <GroupPartyAlias/>
        <IsConverted>false</IsConverted>
        <LegalEntityNameID>9166</LegalEntityNameID>
        <RepresentatedNamesOfAssistant/>
        <LegalEntityTypeID>4</LegalEntityTypeID>
        <IsVerdictExists>false</IsVerdictExists>
        <IsAsirAzir>false</IsAsirAzir>
        <MainAndSecSpec/>
        <IsPublicationProhibited>false</IsPublicationProhibited>
        <PublicationProhibitedFullName>אבי קלינגהופר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סמי עשור</FullName>
        <FirstName>סמי</FirstName>
        <LastName>עשור</LastName>
        <PartyPropertyName/>
        <AuthenticationTypeAndNumber>ת"ז 058330945</AuthenticationTypeAndNumber>
        <RepresentatedOrRepresentativesNames>אבי קלינגהופר</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257552571</CasePartyID>
        <PartyTypeID>1</PartyTypeID>
        <ActivityStatusID>1</ActivityStatusID>
        <PartyAliasID>5</PartyAliasID>
        <PartyAliasName>מערער</PartyAliasName>
        <OrdinalNumber>1</OrdinalNumber>
        <LegalEntityID>6203984</LegalEntityID>
        <CaseLegalEntityID>124925897</CaseLegalEntityID>
        <AuthenticationTypeID>1</AuthenticationTypeID>
        <AuthenticationTypeName>ת"ז</AuthenticationTypeName>
        <LegalEntityNumber>058330945</LegalEntityNumber>
        <IsMainPartyType>true</IsMainPartyType>
        <CaseDisplayIdentifier>63058-06-23</CaseDisplayIdentifier>
        <CaseTypeID>10038</CaseTypeID>
        <CaseTypeName>ערעור על החלטת רשם (ע"ר)</CaseTypeName>
        <CaseName>עשור נ' מלכה</CaseName>
        <FullAddress/>
        <MotionID>0</MotionID>
        <CasePleaID>0</CasePleaID>
        <FatherName>מכלוף</FatherName>
        <LinkedCaseID>0</LinkedCaseID>
        <PartyID>1</PartyID>
        <CasePartyCategoryID>2</CasePartyCategoryID>
        <GrandfatherName/>
        <DrivingLicenseNumber>5013849</DrivingLicenseNumber>
        <PleaTypeID>6</PleaTypeID>
        <GroupPartyAlias>מערערים</GroupPartyAlias>
        <IsConverted>false</IsConverted>
        <LegalEntityRegisteredNameID>6080620</LegalEntityRegisteredNameID>
        <LegalEntityNameID>95083123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 עשור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טליה מלכה</FullName>
        <FirstName>טליה</FirstName>
        <LastName>מלכה</LastName>
        <PartyPropertyName/>
        <AuthenticationTypeAndNumber>ת"ז 023007248</AuthenticationTypeAndNumber>
        <RepresentatedOrRepresentativesNames>יוסף שאבי</RepresentatedOrRepresentativesNames>
        <RepresentatedOrRepresentativesCount>1</RepresentatedOrRepresentativesCount>
        <InvitedBy/>
        <CaseID>80377192</CaseID>
        <CaseJudicialPersonPresentationDS>
          <CaseJudicalPersonActive>
            <CaseID>80377192</CaseID>
            <JudicialPersonID>035710987@GOV.IL</JudicialPersonID>
            <JudicialPersonTypeID>1</JudicialPersonTypeID>
            <JudicialTypeID>1</JudicialTypeID>
            <IsChairman>false</IsChairman>
            <TreatmentStartDate>2024-04-18T10:14:16.597+03:00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257552573</CasePartyID>
        <PartyTypeID>1</PartyTypeID>
        <ActivityStatusID>1</ActivityStatusID>
        <PartyAliasID>4</PartyAliasID>
        <PartyAliasName>משיב</PartyAliasName>
        <OrdinalNumber>1</OrdinalNumber>
        <LegalEntityID>6127668</LegalEntityID>
        <CaseLegalEntityID>124925899</CaseLegalEntityID>
        <AuthenticationTypeID>1</AuthenticationTypeID>
        <AuthenticationTypeName>ת"ז</AuthenticationTypeName>
        <LegalEntityNumber>023007248</LegalEntityNumber>
        <IsMainPartyType>true</IsMainPartyType>
        <CaseDisplayIdentifier>63058-06-23</CaseDisplayIdentifier>
        <CaseTypeID>10038</CaseTypeID>
        <CaseTypeName>ערעור על החלטת רשם (ע"ר)</CaseTypeName>
        <CaseName>עשור נ' מלכה</CaseName>
        <FullAddress>פולד ברכה  4 חיפה דירה</FullAddress>
        <EmailAddress>talimalka1234@hotmail.com</EmailAddress>
        <MotionID>0</MotionID>
        <CasePleaID>0</CasePleaID>
        <FatherName>שלמה</FatherName>
        <LinkedCaseID>0</LinkedCaseID>
        <PartyID>2</PartyID>
        <CasePartyCategoryID>2</CasePartyCategoryID>
        <LegalEntityAddressID>88841899</LegalEntityAddressID>
        <LegalEntityEmailAddressID>68382002</LegalEntityEmailAddressID>
        <PleaTypeID>6</PleaTypeID>
        <GroupPartyAlias>משיבים</GroupPartyAlias>
        <IsConverted>false</IsConverted>
        <LegalEntityRegisteredNameID>9855526</LegalEntityRegisteredNameID>
        <LegalEntityNameID>95083124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מלכה</PublicationProhibitedFullName>
      </CaseParties>
    </CasePartiesSelectionDS>
    <CaseName>עשור נ' מלכה</CaseName>
    <CaseDisplayIdentifier>63058-06-23</CaseDisplayIdentifier>
    <CaseInterestID>148</CaseInterestID>
    <CaseTypeShortName>ע"ר</CaseTypeShortName>
  </dt_DecisionCase>
  <dt_DecisionJudgePanel>
    <JudgeID>035710987@GOV.IL</JudgeID>
    <DisplayName>אלה פטל</DisplayName>
    <RoleName>שופט</RoleName>
    <UserTitleName>שופטת</UserTitleName>
  </dt_DecisionJudgePanel>
  <dt_LegalEntityDetails>
    <Fax>04-6140551</Fax>
    <Phone>04-6140555</Phone>
    <PartyID>2</PartyID>
    <PartyTypeID>2</PartyTypeID>
    <DecisionID>0</DecisionID>
    <StreetName>שיבת ציון 2</StreetName>
    <ZipCode>33094</ZipCode>
    <CityName>חיפה</CityName>
    <FullName>יוסף שאבי</FullName>
    <Email>yosefsadv@gmail.com</Email>
    <IsPublicationProhibited>false</IsPublicationProhibited>
  </dt_LegalEntityDetails>
  <dt_LegalEntityDetails>
    <PartyID>1</PartyID>
    <PartyTypeID>1</PartyTypeID>
    <DecisionID>0</DecisionID>
    <FullName>סמי עשור</FullName>
    <IsPublicationProhibited>false</IsPublicationProhibited>
  </dt_LegalEntityDetails>
  <dt_LegalEntityDetails>
    <Fax>04-8620764</Fax>
    <Phone>04-8650448</Phone>
    <PartyID>1</PartyID>
    <PartyTypeID>2</PartyTypeID>
    <DecisionID>0</DecisionID>
    <StreetName>פל-ים 7</StreetName>
    <ZipCode>33095</ZipCode>
    <CityName>חיפה</CityName>
    <FullName>אבי קלינגהופר</FullName>
    <Email>kdlaw1000@gamil.com</Email>
    <IsPublicationProhibited>false</IsPublicationProhibited>
  </dt_LegalEntityDetails>
  <dt_LegalEntityDetails>
    <AddressDesc>דירה </AddressDesc>
    <PartyID>2</PartyID>
    <PartyTypeID>1</PartyTypeID>
    <DecisionID>0</DecisionID>
    <StreetName>פולד ברכה  4</StreetName>
    <ZipCode>2626704</ZipCode>
    <CityName>חיפה</CityName>
    <FullName>טליה מלכה</FullName>
    <Email>talimalka1234@hotmail.com</Email>
    <IsPublicationProhibited>false</IsPublicationProhibited>
  </dt_LegalEntityDetails>
  <dt_CaseJudicalPersonActive>
    <CaseJudicalPerson>שופטת אלה פטל</CaseJudicalPerson>
  </dt_CaseJudicalPersonActive>
  <dt_Sitting>
    <PreviousMeetingDate>2024-05-22T14:00:00+03:00</PreviousMeetingDate>
    <PreviousSittingTypeID>4</PreviousSittingTypeID>
    <PreviousMeetingDisplayName>שופטת אלה פטל</PreviousMeetingDisplayName>
    <PreviousMeetingRoleName>שופט</PreviousMeetingRoleName>
    <PreviousMeetingUserTitleName>שופטת</PreviousMeetingUserTitleName>
    <PreviousMeetingUserUPN>035710987@GOV.IL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E1F4-973D-466E-B90B-9E68A946A796}">
  <ds:schemaRefs/>
</ds:datastoreItem>
</file>

<file path=customXml/itemProps2.xml><?xml version="1.0" encoding="utf-8"?>
<ds:datastoreItem xmlns:ds="http://schemas.openxmlformats.org/officeDocument/2006/customXml" ds:itemID="{3DC26C11-EDB1-45BE-8099-BAB8872C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3130</Words>
  <Characters>15650</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2024-08-08T15:15:00Z</cp:lastPrinted>
  <dcterms:created xsi:type="dcterms:W3CDTF">2024-08-12T07:40:00Z</dcterms:created>
  <dcterms:modified xsi:type="dcterms:W3CDTF">2024-08-12T07:40:00Z</dcterms:modified>
</cp:coreProperties>
</file>